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中共天津市委宣传部2023年度部门决算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中共天津市委宣传部是市委主管意识形态方面工作的职能部门。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中共天津市委宣传部内设25个职能处室；下辖1个预算单位。纳入中共天津市委宣传部2023年度部门决算编制范围的单位包括：</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1.行政单位：中共天津市委宣传部（本级）</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2.事业单位：天津市出版物产品质量监督检测（鉴定）中心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中共天津市委宣传部2023年度国有资本经营预算财政拨款支出决算表为空表。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中共天津市委宣传部2023年度收入、支出决算总计</w:t>
      </w:r>
      <w:r>
        <w:rPr>
          <w:rFonts w:hint="eastAsia" w:ascii="Times New Roman" w:hAnsi="Times New Roman" w:eastAsia="仿宋_GB2312" w:cs="仿宋_GB2312"/>
          <w:sz w:val="30"/>
          <w:szCs w:val="30"/>
        </w:rPr>
        <w:t>200,479,398.03元，与2022年度相比，收、支总计各减少275,223,969.90元，下降57.86%，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：本年度财政安排的通过我部转拨的专项债券资金项目及中央预算资金项目减少。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中共天津市委宣传部</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195,322,572.92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年度相比减少276,722,264.80元，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：本年度财政安排的通过我部转拨的专项债券资金项目及中央预算资金项目减少。</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164,314,696.48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84.12</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26,411,134.34元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13.52%；</w:t>
      </w: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3,214,680.00元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1.65%；</w:t>
      </w: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1,382,062.10元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0.71%。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中共天津市委宣传部</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年度本年支出合计197,573,699.56元，与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年度相比减少273,331,738.29元，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本年度财政安排的通过我部转拨的专项债券资金项目及中央预算资金项目减少。</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67,373,748.87元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占34.1%；</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130,199,950.69元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占65.9%；</w:t>
      </w: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中共天津市委宣传部</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190,725,830.82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年度相比，财政拨款收、支总计各减少276,743,125.52元，下降59.2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本年度财政安排的通过我部转拨的专项债券资金项目及中央预算资金项目减少。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中共天津市委宣传部2023年度部门决算一般公共预算财政拨款支出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计164,262,007.86元，占本年支出合计的83.14%，与2022年度相比，一般公共预算财政拨款支出减少130,985,760.12元，下降44.36%，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：本年度财政安排的通过我部转拨的中央预算资金项目等减少。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164,262,007.86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一般公共服务支出77,737,805.71元，占47.33%，文化旅游体育与传媒支出76,023,873.02元，占46.28%，社会保障和就业支出6,073,455.38元，占3.70%，卫生健康支出4,426,873.75元，占2.69%。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161,901,000.00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164,262,007.86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101.46%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1.一般公共服务支出（类）宣传事务（款）行政运行（项）年初预算为51,071,000.00元，支出决算为53,228,096.28元，完成年初预算的104.22%，决算数大于年初预算数的主要原因是：按照财政统一安排追加人员经费。</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2.一般公共服务支出（类）宣传事务（款）一般行政管理事务（项）年初预算为23,600,000.00元，支出决算为23,418,961.43元，完成年初预算的99.23%，决算数小于年初预算数的主要原因是：厉行节约，严控经费支出。</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3.一般公共服务支出（类）宣传事务（款）其他宣传事务支出 （项）年初预算为260,000.00元，支出决算为1,090,748.00元，完成年初预算的419.52%，决算数大于年初预算数的主要原因是：按照财政统一安排追加抚恤金经费。</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4.文化旅游体育与传媒支出（类）其他文化旅游体育与传媒支出（款）宣传文化发展专项支出（项）年初预算为57,500,000.00元，支出决算为56,023,998.02元，完成年初预算的97.43%，决算数小于年初预算数的主要原因是：项目执行政府采购过程中节约部分资金。</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5.文化旅游体育与传媒支出（类）其他文化旅游体育与传媒支出（款）文化产业发展专项支出（项）年初预算为20,000,000.00元，支出决算为19,999,875.00元，完成年初预算的99.99%，决算数小于年初预算数的主要原因是：评审相关费用按照实际情况支出。</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6.社会保障和就业支出（类）行政事业单位养老支出（款）机关事业单位基本养老保险缴费支出（项）年初预算为4,151,000.00元，支出决算为4,048,974.58元，完成年初预算的97.54%，决算数小于年初预算数的主要原因是：保险基数调整及人员增减变动。</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7.社会保障和就业支出（类）行政事业单位养老支出（款）机关事业单位职业年金缴费支出（项）年初预算为2,076,000.00元，支出决算为2,024,480.80元，完成年初预算的97.52%，决算数小于年初预算数的主要原因是：保险基数调整及人员增减变动。</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8.卫生健康支出（类）行政事业单位医疗（款）行政单位医疗（项）年初预算为2,724,000.00元，支出决算为2,562,611.71元，完成年初预算的94.08%，决算数小于年初预算数的主要原因是：基本医疗保险缴费比例调整及人员增减变动。</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9.卫生健康支出（类）行政事业单位医疗（款）事业单位医疗（项）年初预算为0元，支出决算为1,372,300.00元，决算数大于年初预算数的主要原因是：按照财政统一要求追加通过我部转拨的非预算单位离休干部医药费。</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10.卫生健康支出（类）行政事业单位医疗（款）公务员医疗补助（项）年初预算为519,000.00元，支出决算为491,962.04元，完成年初预算的94.79%，决算数小于年初预算数的主要原因是：保险基数调整及人员增减变动。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中共天津市委宣传部</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63,728,425.41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年度相比增加970,234.59元，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按照统一要求调整保险缴费基数，人员经费支出增加。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58,468,717.56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抚恤金、医疗费补助、奖励金、其他对个人家庭的补助支出</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5,259,707.85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办公费、邮电费、差旅费、维修（护）费、公务接待费、劳务费、委托业务费、工会经费、福利费、公务用车运行维护费、其他交通费用、其他商品和服务支出、办公设备购置、信息网络及软件购置更新。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中共天津市委宣传部</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26,411,134.34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26,411,134.34</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年度相比，政府性基金财政拨款支出减少144,926,801.64元，下降84.59%，</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本年度政府性基金专项债券资金减少</w:t>
      </w:r>
      <w:bookmarkStart w:id="0" w:name="_GoBack"/>
      <w:bookmarkEnd w:id="0"/>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中共天津市委宣传部2023年度无国有资本经营预算财政拨款收入、支出和结转结余。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70,356.69</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209,643.31</w:t>
      </w:r>
      <w:r>
        <w:rPr>
          <w:rFonts w:hint="eastAsia" w:ascii="Times New Roman" w:hAnsi="Times New Roman" w:eastAsia="仿宋_GB2312" w:cs="仿宋_GB2312"/>
          <w:kern w:val="0"/>
          <w:sz w:val="30"/>
          <w:szCs w:val="30"/>
        </w:rPr>
        <w:t>元，完成预算的25.13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25,484.28元，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56.79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预算数的主要原因是：按照财政统一要求压减</w:t>
      </w:r>
      <w:r>
        <w:rPr>
          <w:rFonts w:hint="eastAsia" w:ascii="Times New Roman" w:hAnsi="Times New Roman" w:eastAsia="仿宋_GB2312" w:cs="仿宋_GB2312"/>
          <w:sz w:val="30"/>
          <w:szCs w:val="30"/>
        </w:rPr>
        <w:t>因公出国（境）经费预算，本年度未发生因公出国（境）活动</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本年度各项业务工作逐步恢复，根据工作实际需要，“三公”经费支出有所增加。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200,000.00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；较上年决算</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按照财政统一要求压减因公出国（境）经费预算，本年度未发生因公出国（境）活动</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本年度和上年度均未发生因公出国（境）活动。</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56,198.69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3,801.31</w:t>
      </w:r>
      <w:r>
        <w:rPr>
          <w:rFonts w:hint="eastAsia" w:ascii="Times New Roman" w:hAnsi="Times New Roman" w:eastAsia="仿宋_GB2312" w:cs="仿宋_GB2312"/>
          <w:kern w:val="0"/>
          <w:sz w:val="30"/>
          <w:szCs w:val="30"/>
        </w:rPr>
        <w:t>元，完成预算的93.66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11,996.28元，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27.14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厉行节约，严格控制公务用车运行维护费支出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本年度各项业务工作逐步恢复，根据工作实际需要，公务用车使用增加，运行维护费支出相应增加。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56,198.69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3,801.31</w:t>
      </w:r>
      <w:r>
        <w:rPr>
          <w:rFonts w:hint="eastAsia" w:ascii="Times New Roman" w:hAnsi="Times New Roman" w:eastAsia="仿宋_GB2312" w:cs="仿宋_GB2312"/>
          <w:kern w:val="0"/>
          <w:sz w:val="30"/>
          <w:szCs w:val="30"/>
        </w:rPr>
        <w:t>元，完成预算的93.66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11,996.28元，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27.14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厉行节约，严格控制公务用车运行维护费支出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本年度各项业务工作逐步恢复，根据工作实际需要，公务用车使用增加，运行维护费支出相应增加。</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辆，</w:t>
      </w:r>
      <w:r>
        <w:rPr>
          <w:rFonts w:hint="eastAsia" w:ascii="Times New Roman" w:eastAsia="仿宋_GB2312"/>
          <w:sz w:val="30"/>
          <w:szCs w:val="30"/>
        </w:rPr>
        <w:t>均为天津市机关事务管理局统一配置车辆</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；较上年决算</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本年度未安排公务用车购置费预算，未发生公务用车购置费支出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本年度和上年度均未发生公务用车购置费支出。</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color w:val="FF0000"/>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14,158.00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5,842.00</w:t>
      </w:r>
      <w:r>
        <w:rPr>
          <w:rFonts w:hint="eastAsia" w:ascii="Times New Roman" w:hAnsi="Times New Roman" w:eastAsia="仿宋_GB2312" w:cs="仿宋_GB2312"/>
          <w:kern w:val="0"/>
          <w:sz w:val="30"/>
          <w:szCs w:val="30"/>
        </w:rPr>
        <w:t>元，完成预算的70.79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13,488.00元，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2013.13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厉行节约，严格控制公务接待费支出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本年度各项业务工作逐步恢复，根据工作实际需要，接待批次增加，公务接待费支出相应增加。</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58</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中共天津市委宣传部</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5,259,707.85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年增加337,260.60元，增长6.85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本年度各项工作逐步恢复，根据工作实际需要，支出有所增加。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中共天津市委宣传部</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kern w:val="0"/>
          <w:sz w:val="30"/>
          <w:szCs w:val="30"/>
        </w:rPr>
        <w:t>采购支出总额</w:t>
      </w:r>
      <w:r>
        <w:rPr>
          <w:rFonts w:hint="eastAsia" w:ascii="Times New Roman" w:hAnsi="Times New Roman" w:eastAsia="仿宋_GB2312" w:cs="Times New Roman"/>
          <w:kern w:val="0"/>
          <w:sz w:val="30"/>
          <w:szCs w:val="30"/>
        </w:rPr>
        <w:t>29,643,9</w:t>
      </w:r>
      <w:r>
        <w:rPr>
          <w:rFonts w:hint="eastAsia" w:ascii="Times New Roman" w:hAnsi="Times New Roman" w:eastAsia="仿宋_GB2312"/>
          <w:kern w:val="0"/>
          <w:sz w:val="30"/>
          <w:szCs w:val="30"/>
        </w:rPr>
        <w:t>41</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kern w:val="0"/>
          <w:sz w:val="30"/>
          <w:szCs w:val="30"/>
        </w:rPr>
        <w:t>元，其中：政府采购货物支出</w:t>
      </w:r>
      <w:r>
        <w:rPr>
          <w:rFonts w:hint="eastAsia" w:ascii="Times New Roman" w:hAnsi="Times New Roman" w:eastAsia="仿宋_GB2312" w:cs="Times New Roman"/>
          <w:kern w:val="0"/>
          <w:sz w:val="30"/>
          <w:szCs w:val="30"/>
        </w:rPr>
        <w:t>3,2</w:t>
      </w:r>
      <w:r>
        <w:rPr>
          <w:rFonts w:hint="eastAsia" w:ascii="Times New Roman" w:hAnsi="Times New Roman" w:eastAsia="仿宋_GB2312"/>
          <w:kern w:val="0"/>
          <w:sz w:val="30"/>
          <w:szCs w:val="30"/>
        </w:rPr>
        <w:t>56</w:t>
      </w:r>
      <w:r>
        <w:rPr>
          <w:rFonts w:hint="eastAsia" w:ascii="Times New Roman" w:hAnsi="Times New Roman" w:eastAsia="仿宋_GB2312" w:cs="Times New Roman"/>
          <w:kern w:val="0"/>
          <w:sz w:val="30"/>
          <w:szCs w:val="30"/>
        </w:rPr>
        <w:t>,</w:t>
      </w:r>
      <w:r>
        <w:rPr>
          <w:rFonts w:hint="eastAsia" w:ascii="Times New Roman" w:hAnsi="Times New Roman" w:eastAsia="仿宋_GB2312"/>
          <w:kern w:val="0"/>
          <w:sz w:val="30"/>
          <w:szCs w:val="30"/>
        </w:rPr>
        <w:t>731</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元、政府采购服务支出</w:t>
      </w:r>
      <w:r>
        <w:rPr>
          <w:rFonts w:hint="eastAsia" w:ascii="Times New Roman" w:hAnsi="Times New Roman" w:eastAsia="仿宋_GB2312" w:cs="Times New Roman"/>
          <w:kern w:val="0"/>
          <w:sz w:val="30"/>
          <w:szCs w:val="30"/>
        </w:rPr>
        <w:t>26,387,210.00</w:t>
      </w:r>
      <w:r>
        <w:rPr>
          <w:rFonts w:hint="eastAsia" w:ascii="Times New Roman" w:hAnsi="Times New Roman" w:eastAsia="仿宋_GB2312" w:cs="仿宋_GB2312"/>
          <w:kern w:val="0"/>
          <w:sz w:val="30"/>
          <w:szCs w:val="30"/>
        </w:rPr>
        <w:t>元。授予中小企业合同金额</w:t>
      </w:r>
      <w:r>
        <w:rPr>
          <w:rFonts w:hint="eastAsia" w:ascii="Times New Roman" w:hAnsi="Times New Roman" w:eastAsia="仿宋_GB2312" w:cs="Times New Roman"/>
          <w:kern w:val="0"/>
          <w:sz w:val="30"/>
          <w:szCs w:val="30"/>
        </w:rPr>
        <w:t>17,695,868.00</w:t>
      </w:r>
      <w:r>
        <w:rPr>
          <w:rFonts w:hint="eastAsia" w:ascii="Times New Roman" w:hAnsi="Times New Roman" w:eastAsia="仿宋_GB2312" w:cs="仿宋_GB2312"/>
          <w:kern w:val="0"/>
          <w:sz w:val="30"/>
          <w:szCs w:val="30"/>
        </w:rPr>
        <w:t>元，占政府采购支出总额的</w:t>
      </w:r>
      <w:r>
        <w:rPr>
          <w:rFonts w:hint="eastAsia" w:ascii="Times New Roman" w:hAnsi="Times New Roman" w:eastAsia="仿宋_GB2312" w:cs="Times New Roman"/>
          <w:kern w:val="0"/>
          <w:sz w:val="30"/>
          <w:szCs w:val="30"/>
        </w:rPr>
        <w:t>59.69%</w:t>
      </w:r>
      <w:r>
        <w:rPr>
          <w:rFonts w:hint="eastAsia" w:ascii="Times New Roman" w:hAnsi="Times New Roman" w:eastAsia="仿宋_GB2312" w:cs="仿宋_GB2312"/>
          <w:kern w:val="0"/>
          <w:sz w:val="30"/>
          <w:szCs w:val="30"/>
        </w:rPr>
        <w:t>，其中：授予小微企业合同金额</w:t>
      </w:r>
      <w:r>
        <w:rPr>
          <w:rFonts w:hint="eastAsia" w:ascii="Times New Roman" w:hAnsi="Times New Roman" w:eastAsia="仿宋_GB2312" w:cs="Times New Roman"/>
          <w:kern w:val="0"/>
          <w:sz w:val="30"/>
          <w:szCs w:val="30"/>
        </w:rPr>
        <w:t>6,140,018.00</w:t>
      </w:r>
      <w:r>
        <w:rPr>
          <w:rFonts w:hint="eastAsia" w:ascii="Times New Roman" w:hAnsi="Times New Roman" w:eastAsia="仿宋_GB2312" w:cs="仿宋_GB2312"/>
          <w:kern w:val="0"/>
          <w:sz w:val="30"/>
          <w:szCs w:val="30"/>
        </w:rPr>
        <w:t>元，占政府采购支出总额的</w:t>
      </w:r>
      <w:r>
        <w:rPr>
          <w:rFonts w:hint="eastAsia" w:ascii="Times New Roman" w:hAnsi="Times New Roman" w:eastAsia="仿宋_GB2312" w:cs="Times New Roman"/>
          <w:kern w:val="0"/>
          <w:sz w:val="30"/>
          <w:szCs w:val="30"/>
        </w:rPr>
        <w:t>20.71%</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99.49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54.78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日，中共天津市委宣传部共有车辆</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根据预算绩效管理要求，中共天津市委宣传部2023年度已对37个市级项目开展绩效自评，涉及金额74,356,981.05元，自评结果已随部门决算一并公开。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中共天津市委宣传部不属于乡、镇、街级单位，不涉及公开2023年度教育、医疗卫生、社会保障和就业、住房保障、涉农补贴等民生支出情况。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B4245"/>
    <w:rsid w:val="000B5C71"/>
    <w:rsid w:val="000D4B98"/>
    <w:rsid w:val="00127B69"/>
    <w:rsid w:val="00127EFA"/>
    <w:rsid w:val="00142888"/>
    <w:rsid w:val="00143EBD"/>
    <w:rsid w:val="00152EEB"/>
    <w:rsid w:val="00153077"/>
    <w:rsid w:val="00163652"/>
    <w:rsid w:val="00167CB7"/>
    <w:rsid w:val="00174685"/>
    <w:rsid w:val="001A0E4F"/>
    <w:rsid w:val="001B5C3C"/>
    <w:rsid w:val="001C0399"/>
    <w:rsid w:val="001D587E"/>
    <w:rsid w:val="002124F6"/>
    <w:rsid w:val="00241C81"/>
    <w:rsid w:val="00250125"/>
    <w:rsid w:val="00264B59"/>
    <w:rsid w:val="002A4997"/>
    <w:rsid w:val="002A6FEB"/>
    <w:rsid w:val="002B0261"/>
    <w:rsid w:val="002E6086"/>
    <w:rsid w:val="00302490"/>
    <w:rsid w:val="003227B2"/>
    <w:rsid w:val="003536BE"/>
    <w:rsid w:val="003B25FB"/>
    <w:rsid w:val="004A482F"/>
    <w:rsid w:val="004F39BF"/>
    <w:rsid w:val="005062D7"/>
    <w:rsid w:val="005175E6"/>
    <w:rsid w:val="00525157"/>
    <w:rsid w:val="005349A2"/>
    <w:rsid w:val="00537E1A"/>
    <w:rsid w:val="00575537"/>
    <w:rsid w:val="005B056C"/>
    <w:rsid w:val="005D1367"/>
    <w:rsid w:val="005D3F56"/>
    <w:rsid w:val="00654D17"/>
    <w:rsid w:val="006623EC"/>
    <w:rsid w:val="006A094D"/>
    <w:rsid w:val="006C5378"/>
    <w:rsid w:val="006D2409"/>
    <w:rsid w:val="006E65DB"/>
    <w:rsid w:val="006F1EC8"/>
    <w:rsid w:val="00717F90"/>
    <w:rsid w:val="0075128E"/>
    <w:rsid w:val="00776FF3"/>
    <w:rsid w:val="0078156E"/>
    <w:rsid w:val="00786E74"/>
    <w:rsid w:val="007D1285"/>
    <w:rsid w:val="007D3FDC"/>
    <w:rsid w:val="007E49E1"/>
    <w:rsid w:val="007F6DA7"/>
    <w:rsid w:val="008174D5"/>
    <w:rsid w:val="00846DE5"/>
    <w:rsid w:val="00885126"/>
    <w:rsid w:val="0089698B"/>
    <w:rsid w:val="008D48A9"/>
    <w:rsid w:val="009365F2"/>
    <w:rsid w:val="00941A30"/>
    <w:rsid w:val="00977DCC"/>
    <w:rsid w:val="009820CF"/>
    <w:rsid w:val="00982A8B"/>
    <w:rsid w:val="009A7ED3"/>
    <w:rsid w:val="009C5ADE"/>
    <w:rsid w:val="009D74D7"/>
    <w:rsid w:val="009E3FD3"/>
    <w:rsid w:val="00A1230A"/>
    <w:rsid w:val="00A254C5"/>
    <w:rsid w:val="00A57AE7"/>
    <w:rsid w:val="00A952CB"/>
    <w:rsid w:val="00AA21C1"/>
    <w:rsid w:val="00AA4C23"/>
    <w:rsid w:val="00AF71AE"/>
    <w:rsid w:val="00B20FD8"/>
    <w:rsid w:val="00B33C70"/>
    <w:rsid w:val="00B75228"/>
    <w:rsid w:val="00B811F1"/>
    <w:rsid w:val="00B81B9F"/>
    <w:rsid w:val="00BC763A"/>
    <w:rsid w:val="00BC7D6F"/>
    <w:rsid w:val="00BD3CAC"/>
    <w:rsid w:val="00BF697A"/>
    <w:rsid w:val="00C26F84"/>
    <w:rsid w:val="00C4595D"/>
    <w:rsid w:val="00C52E77"/>
    <w:rsid w:val="00C65A44"/>
    <w:rsid w:val="00C76AC3"/>
    <w:rsid w:val="00C83EB4"/>
    <w:rsid w:val="00C84840"/>
    <w:rsid w:val="00C93231"/>
    <w:rsid w:val="00D0533E"/>
    <w:rsid w:val="00D30151"/>
    <w:rsid w:val="00D313C1"/>
    <w:rsid w:val="00D4505A"/>
    <w:rsid w:val="00D65B41"/>
    <w:rsid w:val="00DC3234"/>
    <w:rsid w:val="00DC3CD0"/>
    <w:rsid w:val="00DD60B5"/>
    <w:rsid w:val="00DE0AB5"/>
    <w:rsid w:val="00DE4531"/>
    <w:rsid w:val="00E16B96"/>
    <w:rsid w:val="00E23C17"/>
    <w:rsid w:val="00E65072"/>
    <w:rsid w:val="00E7602B"/>
    <w:rsid w:val="00E964B2"/>
    <w:rsid w:val="00EA6549"/>
    <w:rsid w:val="00EB6C6E"/>
    <w:rsid w:val="00F007FE"/>
    <w:rsid w:val="00F66134"/>
    <w:rsid w:val="00FE1C71"/>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966FA"/>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B7DCB"/>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16</Pages>
  <Words>993</Words>
  <Characters>5664</Characters>
  <Lines>47</Lines>
  <Paragraphs>13</Paragraphs>
  <TotalTime>0</TotalTime>
  <ScaleCrop>false</ScaleCrop>
  <LinksUpToDate>false</LinksUpToDate>
  <CharactersWithSpaces>6644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w</cp:lastModifiedBy>
  <dcterms:modified xsi:type="dcterms:W3CDTF">2024-08-08T07:27:38Z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A44E0A178634409BBBA50D5636087390_13</vt:lpwstr>
  </property>
</Properties>
</file>