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中共天津市委统一战线工作部宣传中心</w:t>
      </w: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w w:val="95"/>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2024年度部门决算</w:t>
      </w: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sectPr>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ageBreakBefore w:val="0"/>
        <w:kinsoku/>
        <w:wordWrap/>
        <w:overflowPunct/>
        <w:topLinePunct w:val="0"/>
        <w:autoSpaceDE/>
        <w:autoSpaceDN/>
        <w:bidi w:val="0"/>
        <w:snapToGrid/>
        <w:spacing w:line="600" w:lineRule="exact"/>
        <w:jc w:val="center"/>
        <w:rPr>
          <w:lang w:val="en-US" w:eastAsia="zh-CN"/>
        </w:rPr>
      </w:pPr>
      <w:r>
        <w:rPr>
          <w:rFonts w:ascii="黑体" w:eastAsia="黑体" w:hint="eastAsia"/>
          <w:sz w:val="44"/>
          <w:szCs w:val="44"/>
          <w:highlight w:val="none"/>
          <w:u w:val="none"/>
          <w:lang w:val="en-US" w:eastAsia="zh-CN"/>
        </w:rPr>
        <w:t xml:space="preserve">目录</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第一部分  概 况</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一、主要职责</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二、机构设置</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第二部分  2024年度部门决算表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二、《收入决算表（按功能分类列示）》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三、《收入决算表（按单位列示）》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五、《财政拨款收入支出决算总表》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七、《一般公共预算财政拨款基本支出决算表》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八、《政府性基金预算财政拨款收入支出决算表》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九、《国有资本经营预算财政拨款收入支出决算表》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十、《财政拨款“三公”经费支出决算表》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十一、《项目支出决算表》</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第三部分 2024年度部门决算情况说明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四、财政拨款收支决算总体情况说明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五、一般公共预算财政拨款支出决算情况说明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六、一般公共预算财政拨款基本支出决算情况说明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七、政府性基金预算财政拨款收支决算情况说明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八、国有资本经营预算财政拨款收支决算情况说明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九、财政拨款“三公”经费支出决算情况说明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十、机关运行经费支出情况说明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十一、政府采购支出情况说明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十二、国有资产占有使用情况说明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十三、预算绩效情况说明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十四、教育、医疗卫生、社会保障和就业、住房保障、涉农补贴等民生支出情况说明</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ascii="Times New Roman" w:eastAsia="仿宋" w:hAnsi="Times New Roman" w:cs="Times New Roman" w:hint="eastAsia"/>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w:type="default" r:id="rId22"/>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403062085"/>
      <w:bookmarkStart w:id="1" w:name="_Toc1214908849"/>
      <w:bookmarkStart w:id="2" w:name="_Toc1198055373"/>
      <w:bookmarkStart w:id="3" w:name="_Toc1358716097"/>
      <w:r>
        <w:rPr>
          <w:rFonts w:ascii="方正小标宋简体" w:eastAsia="方正小标宋简体" w:hAnsi="方正小标宋简体" w:cs="方正小标宋简体" w:hint="eastAsia"/>
          <w:b w:val="0"/>
          <w:sz w:val="44"/>
          <w:szCs w:val="44"/>
          <w:highlight w:val="none"/>
          <w:u w:val="none"/>
          <w:lang w:val="en-US" w:eastAsia="zh-CN"/>
        </w:rPr>
        <w:t xml:space="preserve">第一部分  概 况</w:t>
      </w:r>
      <w:bookmarkEnd w:id="0"/>
      <w:bookmarkEnd w:id="1"/>
      <w:bookmarkEnd w:id="2"/>
      <w:bookmarkEnd w:id="3"/>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 w:name="_Toc1747823728"/>
      <w:bookmarkStart w:id="5" w:name="_Toc698509467"/>
      <w:bookmarkStart w:id="6" w:name="_Toc1101039957"/>
      <w:bookmarkStart w:id="7" w:name="_Toc909979739"/>
      <w:r>
        <w:rPr>
          <w:rFonts w:ascii="黑体" w:eastAsia="黑体" w:hAnsi="黑体" w:cs="Times New Roman" w:hint="eastAsia"/>
          <w:sz w:val="30"/>
          <w:szCs w:val="30"/>
          <w:highlight w:val="none"/>
          <w:u w:val="none"/>
          <w:lang w:val="en-US" w:eastAsia="zh-CN"/>
        </w:rPr>
        <w:t xml:space="preserve">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中共天津市委统一战线工作部宣传中心</w:t>
      </w:r>
      <w:r>
        <w:rPr>
          <w:rFonts w:ascii="仿宋_GB2312" w:eastAsia="仿宋_GB2312" w:hint="eastAsia"/>
          <w:sz w:val="30"/>
          <w:szCs w:val="30"/>
          <w:highlight w:val="none"/>
          <w:u w:val="none"/>
          <w:lang w:val="en-US" w:eastAsia="zh-CN"/>
        </w:rPr>
        <w:t xml:space="preserve">的主要职责是：</w:t>
      </w:r>
      <w:r>
        <w:rPr>
          <w:rFonts w:ascii="仿宋_GB2312" w:eastAsia="仿宋_GB2312" w:hint="eastAsia"/>
          <w:sz w:val="30"/>
          <w:szCs w:val="30"/>
          <w:highlight w:val="none"/>
          <w:u w:val="none"/>
          <w:lang w:val="en-US" w:eastAsia="zh-CN"/>
        </w:rPr>
        <w:t xml:space="preserve">承担全市统一战线信息的收集、整理、报送工作；承担“天津统一战线”网站、“津门统战”微信公众号信息内容的管理工作，协助策划有关专题，及时发布相关信息；承担统一战线刊物《天津统战》和《海河同舟》的编刊工作</w:t>
      </w:r>
      <w:r>
        <w:rPr>
          <w:rFonts w:ascii="仿宋_GB2312"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8" w:name="_Toc1702997367"/>
      <w:bookmarkStart w:id="9" w:name="_Toc244589183"/>
      <w:bookmarkStart w:id="10" w:name="_Toc311971100"/>
      <w:bookmarkStart w:id="11" w:name="_Toc1798423086"/>
      <w:r>
        <w:rPr>
          <w:rFonts w:ascii="黑体" w:eastAsia="黑体" w:hAnsi="黑体" w:cs="Times New Roman" w:hint="eastAsia"/>
          <w:sz w:val="30"/>
          <w:szCs w:val="30"/>
          <w:highlight w:val="none"/>
          <w:u w:val="none"/>
          <w:lang w:val="en-US" w:eastAsia="zh-CN"/>
        </w:rPr>
        <w:t xml:space="preserve">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中共天津市委统一战线工作部宣传中心内设1个职能处室</w:t>
      </w:r>
      <w:r>
        <w:rPr>
          <w:rFonts w:ascii="仿宋_GB2312" w:eastAsia="仿宋_GB2312" w:hint="eastAsia"/>
          <w:sz w:val="30"/>
          <w:szCs w:val="30"/>
          <w:highlight w:val="none"/>
          <w:u w:val="none"/>
          <w:lang w:val="en-US" w:eastAsia="zh-CN"/>
        </w:rPr>
        <w:t xml:space="preserve">；纳入</w:t>
      </w:r>
      <w:r>
        <w:rPr>
          <w:rFonts w:ascii="仿宋_GB2312" w:eastAsia="仿宋_GB2312" w:hint="eastAsia"/>
          <w:sz w:val="30"/>
          <w:szCs w:val="30"/>
          <w:highlight w:val="none"/>
          <w:u w:val="none"/>
          <w:lang w:val="en-US" w:eastAsia="zh-CN"/>
        </w:rPr>
        <w:t xml:space="preserve">中共天津市委统一战线工作部宣传中心</w:t>
      </w:r>
      <w:r>
        <w:rPr>
          <w:rFonts w:ascii="仿宋_GB2312" w:eastAsia="仿宋_GB2312" w:hint="eastAsia"/>
          <w:sz w:val="30"/>
          <w:szCs w:val="30"/>
          <w:highlight w:val="none"/>
          <w:u w:val="none"/>
          <w:lang w:val="en-US" w:eastAsia="zh-CN"/>
        </w:rPr>
        <w:t xml:space="preserve">2024年度部门决算编制范围的单位包括：</w:t>
      </w:r>
    </w:p>
    <w:p>
      <w:pPr>
        <w:pageBreakBefore w:val="0"/>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1.中共天津市委统一战线工作部宣传中心</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1290695373"/>
      <w:bookmarkStart w:id="14" w:name="_Toc264474877"/>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Heading1"/>
        <w:pageBreakBefore w:val="0"/>
        <w:kinsoku/>
        <w:wordWrap/>
        <w:overflowPunct/>
        <w:topLinePunct w:val="0"/>
        <w:autoSpaceDE/>
        <w:autoSpaceDN/>
        <w:bidi w:val="0"/>
        <w:snapToGrid/>
        <w:spacing w:before="0" w:after="0" w:line="600" w:lineRule="exact"/>
        <w:jc w:val="center"/>
        <w:outlineLvl w:val="0"/>
        <w:rPr>
          <w:rFonts w:ascii="方正小标宋简体" w:eastAsia="方正小标宋简体" w:hAnsi="方正小标宋简体" w:cs="方正小标宋简体" w:hint="eastAsia"/>
          <w:b w:val="0"/>
          <w:bCs w:val="0"/>
          <w:sz w:val="44"/>
          <w:szCs w:val="44"/>
          <w:highlight w:val="none"/>
          <w:u w:val="none"/>
          <w:lang w:val="en-US" w:eastAsia="zh-CN"/>
        </w:rPr>
      </w:pPr>
      <w:bookmarkStart w:id="15" w:name="_Toc614699953"/>
      <w:r>
        <w:rPr>
          <w:rFonts w:ascii="方正小标宋简体" w:eastAsia="方正小标宋简体" w:hAnsi="方正小标宋简体" w:cs="方正小标宋简体" w:hint="eastAsia"/>
          <w:b w:val="0"/>
          <w:bCs w:val="0"/>
          <w:sz w:val="44"/>
          <w:szCs w:val="44"/>
          <w:highlight w:val="none"/>
          <w:u w:val="none"/>
          <w:lang w:val="en-US" w:eastAsia="zh-CN"/>
        </w:rPr>
        <w:t xml:space="preserve">第二部分  2024年度部门决算表</w:t>
      </w:r>
      <w:bookmarkStart w:id="16" w:name="_Toc1675239290"/>
      <w:bookmarkEnd w:id="12"/>
      <w:bookmarkEnd w:id="13"/>
      <w:bookmarkEnd w:id="14"/>
      <w:bookmarkEnd w:id="15"/>
      <w:bookmarkEnd w:id="16"/>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Heading2"/>
        <w:pageBreakBefore w:val="0"/>
        <w:kinsoku/>
        <w:wordWrap/>
        <w:overflowPunct/>
        <w:topLinePunct w:val="0"/>
        <w:autoSpaceDE/>
        <w:autoSpaceDN/>
        <w:bidi w:val="0"/>
        <w:snapToGrid/>
        <w:spacing w:before="0" w:after="0" w:line="800" w:lineRule="exact"/>
        <w:ind w:firstLine="600" w:firstLineChars="200"/>
        <w:outlineLvl w:val="9"/>
        <w:rPr>
          <w:rFonts w:ascii="黑体" w:eastAsia="黑体" w:hAnsi="黑体" w:hint="eastAsia"/>
          <w:b w:val="0"/>
          <w:sz w:val="30"/>
          <w:szCs w:val="30"/>
          <w:highlight w:val="none"/>
          <w:u w:val="none"/>
          <w:lang w:val="en-US" w:eastAsia="zh-CN"/>
        </w:rPr>
        <w:sectPr>
          <w:footerReference w:type="default" r:id="rId23"/>
          <w:pgSz w:w="11906" w:h="16838" w:orient="portrait"/>
          <w:pgMar w:top="1440" w:right="1800" w:bottom="1440" w:left="1800" w:header="851" w:footer="992" w:gutter="0"/>
          <w:pgBorders/>
          <w:pgNumType w:fmt="decimal" w:start="1"/>
          <w:cols w:num="1" w:space="720">
            <w:col w:w="8306" w:space="720"/>
          </w:cols>
          <w:docGrid w:type="lines" w:linePitch="312" w:charSpace="0"/>
        </w:sectPr>
      </w:pPr>
      <w:bookmarkStart w:id="17" w:name="_Toc1885592096"/>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18" w:name="_Toc984815664"/>
      <w:bookmarkStart w:id="19" w:name="_Toc291121727"/>
      <w:bookmarkStart w:id="20" w:name="_Toc1865768001"/>
      <w:r>
        <w:rPr>
          <w:rFonts w:ascii="黑体" w:eastAsia="黑体" w:hAnsi="黑体" w:hint="eastAsia"/>
          <w:sz w:val="30"/>
          <w:szCs w:val="30"/>
          <w:highlight w:val="none"/>
          <w:u w:val="none"/>
          <w:lang w:val="en-US" w:eastAsia="zh-CN"/>
        </w:rPr>
        <w:t xml:space="preserve">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单位：中共天津市委统一战线工作部宣传中心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780,841.88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673,439.88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75,000.00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32,402.00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57.91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780,899.79</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780,841.88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57.91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780,899.79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780,899.79</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1" w:name="_Toc406579313"/>
      <w:r>
        <w:rPr>
          <w:rFonts w:ascii="黑体" w:eastAsia="黑体" w:hAnsi="黑体" w:cs="Times New Roman" w:hint="eastAsia"/>
          <w:sz w:val="30"/>
          <w:szCs w:val="30"/>
          <w:highlight w:val="none"/>
          <w:u w:val="none"/>
          <w:lang w:val="en-US" w:eastAsia="zh-CN"/>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单位：中共天津市委统一战线工作部宣传中心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780,899.79</w:t>
            </w:r>
          </w:p>
        </w:tc>
        <w:tc>
          <w:tcPr>
            <w:tcW w:w="1240" w:type="dxa"/>
            <w:tcBorders/>
            <w:vAlign w:val="center"/>
          </w:tcPr>
          <w:p>
            <w:pPr>
              <w:snapToGrid w:val="0"/>
              <w:jc w:val="right"/>
            </w:pPr>
            <w:r>
              <w:rPr>
                <w:rFonts w:ascii="宋体" w:eastAsia="宋体" w:hAnsi="宋体" w:cs="宋体"/>
                <w:b w:val="0"/>
                <w:i w:val="0"/>
                <w:color w:val="000000"/>
                <w:sz w:val="14"/>
              </w:rPr>
              <w:t xml:space="preserve">780,841.88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57.91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673,497.79</w:t>
            </w:r>
          </w:p>
        </w:tc>
        <w:tc>
          <w:tcPr>
            <w:tcW w:w="1240" w:type="dxa"/>
            <w:tcBorders/>
            <w:vAlign w:val="center"/>
          </w:tcPr>
          <w:p>
            <w:pPr>
              <w:snapToGrid w:val="0"/>
              <w:jc w:val="right"/>
            </w:pPr>
            <w:r>
              <w:rPr>
                <w:rFonts w:ascii="宋体" w:eastAsia="宋体" w:hAnsi="宋体" w:cs="宋体"/>
                <w:b w:val="0"/>
                <w:i w:val="0"/>
                <w:color w:val="000000"/>
                <w:sz w:val="14"/>
              </w:rPr>
              <w:t xml:space="preserve">673,439.88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57.91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20134</w:t>
            </w:r>
          </w:p>
        </w:tc>
        <w:tc>
          <w:tcPr>
            <w:tcW w:w="2520" w:type="dxa"/>
            <w:tcBorders/>
            <w:vAlign w:val="center"/>
          </w:tcPr>
          <w:p>
            <w:pPr>
              <w:snapToGrid w:val="0"/>
              <w:jc w:val="left"/>
            </w:pPr>
            <w:r>
              <w:rPr>
                <w:rFonts w:ascii="宋体" w:eastAsia="宋体" w:hAnsi="宋体" w:cs="宋体"/>
                <w:b w:val="0"/>
                <w:i w:val="0"/>
                <w:color w:val="000000"/>
                <w:sz w:val="14"/>
              </w:rPr>
              <w:t xml:space="preserve">统战事务</w:t>
            </w:r>
          </w:p>
        </w:tc>
        <w:tc>
          <w:tcPr>
            <w:tcW w:w="1240" w:type="dxa"/>
            <w:tcBorders/>
            <w:vAlign w:val="center"/>
          </w:tcPr>
          <w:p>
            <w:pPr>
              <w:snapToGrid w:val="0"/>
              <w:jc w:val="right"/>
            </w:pPr>
            <w:r>
              <w:rPr>
                <w:rFonts w:ascii="宋体" w:eastAsia="宋体" w:hAnsi="宋体" w:cs="宋体"/>
                <w:b w:val="0"/>
                <w:i w:val="0"/>
                <w:color w:val="000000"/>
                <w:sz w:val="14"/>
              </w:rPr>
              <w:t xml:space="preserve">673,497.79</w:t>
            </w:r>
          </w:p>
        </w:tc>
        <w:tc>
          <w:tcPr>
            <w:tcW w:w="1240" w:type="dxa"/>
            <w:tcBorders/>
            <w:vAlign w:val="center"/>
          </w:tcPr>
          <w:p>
            <w:pPr>
              <w:snapToGrid w:val="0"/>
              <w:jc w:val="right"/>
            </w:pPr>
            <w:r>
              <w:rPr>
                <w:rFonts w:ascii="宋体" w:eastAsia="宋体" w:hAnsi="宋体" w:cs="宋体"/>
                <w:b w:val="0"/>
                <w:i w:val="0"/>
                <w:color w:val="000000"/>
                <w:sz w:val="14"/>
              </w:rPr>
              <w:t xml:space="preserve">673,439.88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57.91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2013450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673,497.79</w:t>
            </w:r>
          </w:p>
        </w:tc>
        <w:tc>
          <w:tcPr>
            <w:tcW w:w="1240" w:type="dxa"/>
            <w:tcBorders/>
            <w:vAlign w:val="center"/>
          </w:tcPr>
          <w:p>
            <w:pPr>
              <w:snapToGrid w:val="0"/>
              <w:jc w:val="right"/>
            </w:pPr>
            <w:r>
              <w:rPr>
                <w:rFonts w:ascii="宋体" w:eastAsia="宋体" w:hAnsi="宋体" w:cs="宋体"/>
                <w:b w:val="0"/>
                <w:i w:val="0"/>
                <w:color w:val="000000"/>
                <w:sz w:val="14"/>
              </w:rPr>
              <w:t xml:space="preserve">673,439.88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57.91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75,000.00</w:t>
            </w:r>
          </w:p>
        </w:tc>
        <w:tc>
          <w:tcPr>
            <w:tcW w:w="1240" w:type="dxa"/>
            <w:tcBorders/>
            <w:vAlign w:val="center"/>
          </w:tcPr>
          <w:p>
            <w:pPr>
              <w:snapToGrid w:val="0"/>
              <w:jc w:val="right"/>
            </w:pPr>
            <w:r>
              <w:rPr>
                <w:rFonts w:ascii="宋体" w:eastAsia="宋体" w:hAnsi="宋体" w:cs="宋体"/>
                <w:b w:val="0"/>
                <w:i w:val="0"/>
                <w:color w:val="000000"/>
                <w:sz w:val="14"/>
              </w:rPr>
              <w:t xml:space="preserve">75,000.00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75,000.00</w:t>
            </w:r>
          </w:p>
        </w:tc>
        <w:tc>
          <w:tcPr>
            <w:tcW w:w="1240" w:type="dxa"/>
            <w:tcBorders/>
            <w:vAlign w:val="center"/>
          </w:tcPr>
          <w:p>
            <w:pPr>
              <w:snapToGrid w:val="0"/>
              <w:jc w:val="right"/>
            </w:pPr>
            <w:r>
              <w:rPr>
                <w:rFonts w:ascii="宋体" w:eastAsia="宋体" w:hAnsi="宋体" w:cs="宋体"/>
                <w:b w:val="0"/>
                <w:i w:val="0"/>
                <w:color w:val="000000"/>
                <w:sz w:val="14"/>
              </w:rPr>
              <w:t xml:space="preserve">75,000.00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25,000.00</w:t>
            </w:r>
          </w:p>
        </w:tc>
        <w:tc>
          <w:tcPr>
            <w:tcW w:w="1240" w:type="dxa"/>
            <w:tcBorders/>
            <w:vAlign w:val="center"/>
          </w:tcPr>
          <w:p>
            <w:pPr>
              <w:snapToGrid w:val="0"/>
              <w:jc w:val="right"/>
            </w:pPr>
            <w:r>
              <w:rPr>
                <w:rFonts w:ascii="宋体" w:eastAsia="宋体" w:hAnsi="宋体" w:cs="宋体"/>
                <w:b w:val="0"/>
                <w:i w:val="0"/>
                <w:color w:val="000000"/>
                <w:sz w:val="14"/>
              </w:rPr>
              <w:t xml:space="preserve">25,000.00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32,402.00</w:t>
            </w:r>
          </w:p>
        </w:tc>
        <w:tc>
          <w:tcPr>
            <w:tcW w:w="1240" w:type="dxa"/>
            <w:tcBorders/>
            <w:vAlign w:val="center"/>
          </w:tcPr>
          <w:p>
            <w:pPr>
              <w:snapToGrid w:val="0"/>
              <w:jc w:val="right"/>
            </w:pPr>
            <w:r>
              <w:rPr>
                <w:rFonts w:ascii="宋体" w:eastAsia="宋体" w:hAnsi="宋体" w:cs="宋体"/>
                <w:b w:val="0"/>
                <w:i w:val="0"/>
                <w:color w:val="000000"/>
                <w:sz w:val="14"/>
              </w:rPr>
              <w:t xml:space="preserve">32,402.00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32,402.00</w:t>
            </w:r>
          </w:p>
        </w:tc>
        <w:tc>
          <w:tcPr>
            <w:tcW w:w="1240" w:type="dxa"/>
            <w:tcBorders/>
            <w:vAlign w:val="center"/>
          </w:tcPr>
          <w:p>
            <w:pPr>
              <w:snapToGrid w:val="0"/>
              <w:jc w:val="right"/>
            </w:pPr>
            <w:r>
              <w:rPr>
                <w:rFonts w:ascii="宋体" w:eastAsia="宋体" w:hAnsi="宋体" w:cs="宋体"/>
                <w:b w:val="0"/>
                <w:i w:val="0"/>
                <w:color w:val="000000"/>
                <w:sz w:val="14"/>
              </w:rPr>
              <w:t xml:space="preserve">32,402.00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30,000.00</w:t>
            </w:r>
          </w:p>
        </w:tc>
        <w:tc>
          <w:tcPr>
            <w:tcW w:w="1240" w:type="dxa"/>
            <w:tcBorders/>
            <w:vAlign w:val="center"/>
          </w:tcPr>
          <w:p>
            <w:pPr>
              <w:snapToGrid w:val="0"/>
              <w:jc w:val="right"/>
            </w:pPr>
            <w:r>
              <w:rPr>
                <w:rFonts w:ascii="宋体" w:eastAsia="宋体" w:hAnsi="宋体" w:cs="宋体"/>
                <w:b w:val="0"/>
                <w:i w:val="0"/>
                <w:color w:val="000000"/>
                <w:sz w:val="14"/>
              </w:rPr>
              <w:t xml:space="preserve">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2,402.00</w:t>
            </w:r>
          </w:p>
        </w:tc>
        <w:tc>
          <w:tcPr>
            <w:tcW w:w="1240" w:type="dxa"/>
            <w:tcBorders/>
            <w:vAlign w:val="center"/>
          </w:tcPr>
          <w:p>
            <w:pPr>
              <w:snapToGrid w:val="0"/>
              <w:jc w:val="right"/>
            </w:pPr>
            <w:r>
              <w:rPr>
                <w:rFonts w:ascii="宋体" w:eastAsia="宋体" w:hAnsi="宋体" w:cs="宋体"/>
                <w:b w:val="0"/>
                <w:i w:val="0"/>
                <w:color w:val="000000"/>
                <w:sz w:val="14"/>
              </w:rPr>
              <w:t xml:space="preserve">2,402.00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2" w:name="_Toc85548837"/>
      <w:r>
        <w:rPr>
          <w:rFonts w:ascii="黑体" w:eastAsia="黑体" w:hAnsi="黑体" w:cs="Times New Roman" w:hint="eastAsia"/>
          <w:sz w:val="30"/>
          <w:szCs w:val="30"/>
          <w:highlight w:val="none"/>
          <w:u w:val="none"/>
          <w:lang w:val="en-US" w:eastAsia="zh-CN"/>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单位：中共天津市委统一战线工作部宣传中心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780,899.79</w:t>
            </w:r>
          </w:p>
        </w:tc>
        <w:tc>
          <w:tcPr>
            <w:tcW w:w="580" w:type="dxa"/>
            <w:tcBorders/>
            <w:vAlign w:val="center"/>
          </w:tcPr>
          <w:p>
            <w:pPr>
              <w:snapToGrid w:val="0"/>
              <w:jc w:val="right"/>
            </w:pPr>
            <w:r>
              <w:rPr>
                <w:rFonts w:ascii="宋体" w:eastAsia="宋体" w:hAnsi="宋体" w:cs="宋体"/>
                <w:b w:val="0"/>
                <w:i w:val="0"/>
                <w:color w:val="000000"/>
                <w:sz w:val="9"/>
              </w:rPr>
              <w:t xml:space="preserve">780,899.79</w:t>
            </w:r>
          </w:p>
        </w:tc>
        <w:tc>
          <w:tcPr>
            <w:tcW w:w="580" w:type="dxa"/>
            <w:tcBorders/>
            <w:vAlign w:val="center"/>
          </w:tcPr>
          <w:p>
            <w:pPr>
              <w:snapToGrid w:val="0"/>
              <w:jc w:val="right"/>
            </w:pPr>
            <w:r>
              <w:rPr>
                <w:rFonts w:ascii="宋体" w:eastAsia="宋体" w:hAnsi="宋体" w:cs="宋体"/>
                <w:b w:val="0"/>
                <w:i w:val="0"/>
                <w:color w:val="000000"/>
                <w:sz w:val="9"/>
              </w:rPr>
              <w:t xml:space="preserve">780,841.88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57.91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340213</w:t>
            </w:r>
          </w:p>
        </w:tc>
        <w:tc>
          <w:tcPr>
            <w:tcW w:w="1520" w:type="dxa"/>
            <w:tcBorders/>
            <w:vAlign w:val="center"/>
          </w:tcPr>
          <w:p>
            <w:pPr>
              <w:snapToGrid w:val="0"/>
              <w:jc w:val="center"/>
            </w:pPr>
            <w:r>
              <w:rPr>
                <w:rFonts w:ascii="宋体" w:eastAsia="宋体" w:hAnsi="宋体" w:cs="宋体"/>
                <w:b w:val="0"/>
                <w:i w:val="0"/>
                <w:color w:val="000000"/>
                <w:sz w:val="9"/>
              </w:rPr>
              <w:t xml:space="preserve">中共天津市委统一战线工作部宣传中心</w:t>
            </w:r>
          </w:p>
        </w:tc>
        <w:tc>
          <w:tcPr>
            <w:tcW w:w="580" w:type="dxa"/>
            <w:tcBorders/>
            <w:vAlign w:val="center"/>
          </w:tcPr>
          <w:p>
            <w:pPr>
              <w:snapToGrid w:val="0"/>
              <w:jc w:val="right"/>
            </w:pPr>
            <w:r>
              <w:rPr>
                <w:rFonts w:ascii="宋体" w:eastAsia="宋体" w:hAnsi="宋体" w:cs="宋体"/>
                <w:b w:val="0"/>
                <w:i w:val="0"/>
                <w:color w:val="000000"/>
                <w:sz w:val="9"/>
              </w:rPr>
              <w:t xml:space="preserve">780,899.79</w:t>
            </w:r>
          </w:p>
        </w:tc>
        <w:tc>
          <w:tcPr>
            <w:tcW w:w="580" w:type="dxa"/>
            <w:tcBorders/>
            <w:vAlign w:val="center"/>
          </w:tcPr>
          <w:p>
            <w:pPr>
              <w:snapToGrid w:val="0"/>
              <w:jc w:val="right"/>
            </w:pPr>
            <w:r>
              <w:rPr>
                <w:rFonts w:ascii="宋体" w:eastAsia="宋体" w:hAnsi="宋体" w:cs="宋体"/>
                <w:b w:val="0"/>
                <w:i w:val="0"/>
                <w:color w:val="000000"/>
                <w:sz w:val="9"/>
              </w:rPr>
              <w:t xml:space="preserve">780,899.79</w:t>
            </w:r>
          </w:p>
        </w:tc>
        <w:tc>
          <w:tcPr>
            <w:tcW w:w="580" w:type="dxa"/>
            <w:tcBorders/>
            <w:vAlign w:val="center"/>
          </w:tcPr>
          <w:p>
            <w:pPr>
              <w:snapToGrid w:val="0"/>
              <w:jc w:val="right"/>
            </w:pPr>
            <w:r>
              <w:rPr>
                <w:rFonts w:ascii="宋体" w:eastAsia="宋体" w:hAnsi="宋体" w:cs="宋体"/>
                <w:b w:val="0"/>
                <w:i w:val="0"/>
                <w:color w:val="000000"/>
                <w:sz w:val="9"/>
              </w:rPr>
              <w:t xml:space="preserve">780,841.88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57.91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3" w:name="_Toc1152743616"/>
      <w:r>
        <w:rPr>
          <w:rFonts w:ascii="黑体" w:eastAsia="黑体" w:hAnsi="黑体" w:cs="Times New Roman" w:hint="eastAsia"/>
          <w:sz w:val="30"/>
          <w:szCs w:val="30"/>
          <w:highlight w:val="none"/>
          <w:u w:val="none"/>
          <w:lang w:val="en-US" w:eastAsia="zh-CN"/>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单位：中共天津市委统一战线工作部宣传中心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780,841.88</w:t>
            </w:r>
          </w:p>
        </w:tc>
        <w:tc>
          <w:tcPr>
            <w:tcW w:w="1320" w:type="dxa"/>
            <w:tcBorders/>
            <w:vAlign w:val="center"/>
          </w:tcPr>
          <w:p>
            <w:pPr>
              <w:snapToGrid w:val="0"/>
              <w:jc w:val="right"/>
            </w:pPr>
            <w:r>
              <w:rPr>
                <w:rFonts w:ascii="宋体" w:eastAsia="宋体" w:hAnsi="宋体" w:cs="宋体"/>
                <w:b w:val="0"/>
                <w:i w:val="0"/>
                <w:color w:val="000000"/>
                <w:sz w:val="15"/>
              </w:rPr>
              <w:t xml:space="preserve">780,841.88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673,439.88</w:t>
            </w:r>
          </w:p>
        </w:tc>
        <w:tc>
          <w:tcPr>
            <w:tcW w:w="1320" w:type="dxa"/>
            <w:tcBorders/>
            <w:vAlign w:val="center"/>
          </w:tcPr>
          <w:p>
            <w:pPr>
              <w:snapToGrid w:val="0"/>
              <w:jc w:val="right"/>
            </w:pPr>
            <w:r>
              <w:rPr>
                <w:rFonts w:ascii="宋体" w:eastAsia="宋体" w:hAnsi="宋体" w:cs="宋体"/>
                <w:b w:val="0"/>
                <w:i w:val="0"/>
                <w:color w:val="000000"/>
                <w:sz w:val="15"/>
              </w:rPr>
              <w:t xml:space="preserve">673,439.88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20134</w:t>
            </w:r>
          </w:p>
        </w:tc>
        <w:tc>
          <w:tcPr>
            <w:tcW w:w="4400" w:type="dxa"/>
            <w:tcBorders/>
            <w:vAlign w:val="center"/>
          </w:tcPr>
          <w:p>
            <w:pPr>
              <w:snapToGrid w:val="0"/>
              <w:jc w:val="left"/>
            </w:pPr>
            <w:r>
              <w:rPr>
                <w:rFonts w:ascii="宋体" w:eastAsia="宋体" w:hAnsi="宋体" w:cs="宋体"/>
                <w:b w:val="0"/>
                <w:i w:val="0"/>
                <w:color w:val="000000"/>
                <w:sz w:val="15"/>
              </w:rPr>
              <w:t xml:space="preserve">统战事务</w:t>
            </w:r>
          </w:p>
        </w:tc>
        <w:tc>
          <w:tcPr>
            <w:tcW w:w="1320" w:type="dxa"/>
            <w:tcBorders/>
            <w:vAlign w:val="center"/>
          </w:tcPr>
          <w:p>
            <w:pPr>
              <w:snapToGrid w:val="0"/>
              <w:jc w:val="right"/>
            </w:pPr>
            <w:r>
              <w:rPr>
                <w:rFonts w:ascii="宋体" w:eastAsia="宋体" w:hAnsi="宋体" w:cs="宋体"/>
                <w:b w:val="0"/>
                <w:i w:val="0"/>
                <w:color w:val="000000"/>
                <w:sz w:val="15"/>
              </w:rPr>
              <w:t xml:space="preserve">673,439.88</w:t>
            </w:r>
          </w:p>
        </w:tc>
        <w:tc>
          <w:tcPr>
            <w:tcW w:w="1320" w:type="dxa"/>
            <w:tcBorders/>
            <w:vAlign w:val="center"/>
          </w:tcPr>
          <w:p>
            <w:pPr>
              <w:snapToGrid w:val="0"/>
              <w:jc w:val="right"/>
            </w:pPr>
            <w:r>
              <w:rPr>
                <w:rFonts w:ascii="宋体" w:eastAsia="宋体" w:hAnsi="宋体" w:cs="宋体"/>
                <w:b w:val="0"/>
                <w:i w:val="0"/>
                <w:color w:val="000000"/>
                <w:sz w:val="15"/>
              </w:rPr>
              <w:t xml:space="preserve">673,439.88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2013450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673,439.88</w:t>
            </w:r>
          </w:p>
        </w:tc>
        <w:tc>
          <w:tcPr>
            <w:tcW w:w="1320" w:type="dxa"/>
            <w:tcBorders/>
            <w:vAlign w:val="center"/>
          </w:tcPr>
          <w:p>
            <w:pPr>
              <w:snapToGrid w:val="0"/>
              <w:jc w:val="right"/>
            </w:pPr>
            <w:r>
              <w:rPr>
                <w:rFonts w:ascii="宋体" w:eastAsia="宋体" w:hAnsi="宋体" w:cs="宋体"/>
                <w:b w:val="0"/>
                <w:i w:val="0"/>
                <w:color w:val="000000"/>
                <w:sz w:val="15"/>
              </w:rPr>
              <w:t xml:space="preserve">673,439.88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75,000.00</w:t>
            </w:r>
          </w:p>
        </w:tc>
        <w:tc>
          <w:tcPr>
            <w:tcW w:w="1320" w:type="dxa"/>
            <w:tcBorders/>
            <w:vAlign w:val="center"/>
          </w:tcPr>
          <w:p>
            <w:pPr>
              <w:snapToGrid w:val="0"/>
              <w:jc w:val="right"/>
            </w:pPr>
            <w:r>
              <w:rPr>
                <w:rFonts w:ascii="宋体" w:eastAsia="宋体" w:hAnsi="宋体" w:cs="宋体"/>
                <w:b w:val="0"/>
                <w:i w:val="0"/>
                <w:color w:val="000000"/>
                <w:sz w:val="15"/>
              </w:rPr>
              <w:t xml:space="preserve">75,000.00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75,000.00</w:t>
            </w:r>
          </w:p>
        </w:tc>
        <w:tc>
          <w:tcPr>
            <w:tcW w:w="1320" w:type="dxa"/>
            <w:tcBorders/>
            <w:vAlign w:val="center"/>
          </w:tcPr>
          <w:p>
            <w:pPr>
              <w:snapToGrid w:val="0"/>
              <w:jc w:val="right"/>
            </w:pPr>
            <w:r>
              <w:rPr>
                <w:rFonts w:ascii="宋体" w:eastAsia="宋体" w:hAnsi="宋体" w:cs="宋体"/>
                <w:b w:val="0"/>
                <w:i w:val="0"/>
                <w:color w:val="000000"/>
                <w:sz w:val="15"/>
              </w:rPr>
              <w:t xml:space="preserve">75,000.00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25,000.00</w:t>
            </w:r>
          </w:p>
        </w:tc>
        <w:tc>
          <w:tcPr>
            <w:tcW w:w="1320" w:type="dxa"/>
            <w:tcBorders/>
            <w:vAlign w:val="center"/>
          </w:tcPr>
          <w:p>
            <w:pPr>
              <w:snapToGrid w:val="0"/>
              <w:jc w:val="right"/>
            </w:pPr>
            <w:r>
              <w:rPr>
                <w:rFonts w:ascii="宋体" w:eastAsia="宋体" w:hAnsi="宋体" w:cs="宋体"/>
                <w:b w:val="0"/>
                <w:i w:val="0"/>
                <w:color w:val="000000"/>
                <w:sz w:val="15"/>
              </w:rPr>
              <w:t xml:space="preserve">25,000.00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32,402.00</w:t>
            </w:r>
          </w:p>
        </w:tc>
        <w:tc>
          <w:tcPr>
            <w:tcW w:w="1320" w:type="dxa"/>
            <w:tcBorders/>
            <w:vAlign w:val="center"/>
          </w:tcPr>
          <w:p>
            <w:pPr>
              <w:snapToGrid w:val="0"/>
              <w:jc w:val="right"/>
            </w:pPr>
            <w:r>
              <w:rPr>
                <w:rFonts w:ascii="宋体" w:eastAsia="宋体" w:hAnsi="宋体" w:cs="宋体"/>
                <w:b w:val="0"/>
                <w:i w:val="0"/>
                <w:color w:val="000000"/>
                <w:sz w:val="15"/>
              </w:rPr>
              <w:t xml:space="preserve">32,402.00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32,402.00</w:t>
            </w:r>
          </w:p>
        </w:tc>
        <w:tc>
          <w:tcPr>
            <w:tcW w:w="1320" w:type="dxa"/>
            <w:tcBorders/>
            <w:vAlign w:val="center"/>
          </w:tcPr>
          <w:p>
            <w:pPr>
              <w:snapToGrid w:val="0"/>
              <w:jc w:val="right"/>
            </w:pPr>
            <w:r>
              <w:rPr>
                <w:rFonts w:ascii="宋体" w:eastAsia="宋体" w:hAnsi="宋体" w:cs="宋体"/>
                <w:b w:val="0"/>
                <w:i w:val="0"/>
                <w:color w:val="000000"/>
                <w:sz w:val="15"/>
              </w:rPr>
              <w:t xml:space="preserve">32,402.00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30,000.00</w:t>
            </w:r>
          </w:p>
        </w:tc>
        <w:tc>
          <w:tcPr>
            <w:tcW w:w="1320" w:type="dxa"/>
            <w:tcBorders/>
            <w:vAlign w:val="center"/>
          </w:tcPr>
          <w:p>
            <w:pPr>
              <w:snapToGrid w:val="0"/>
              <w:jc w:val="right"/>
            </w:pPr>
            <w:r>
              <w:rPr>
                <w:rFonts w:ascii="宋体" w:eastAsia="宋体" w:hAnsi="宋体" w:cs="宋体"/>
                <w:b w:val="0"/>
                <w:i w:val="0"/>
                <w:color w:val="000000"/>
                <w:sz w:val="15"/>
              </w:rPr>
              <w:t xml:space="preserve">30,000.00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2,402.00</w:t>
            </w:r>
          </w:p>
        </w:tc>
        <w:tc>
          <w:tcPr>
            <w:tcW w:w="1320" w:type="dxa"/>
            <w:tcBorders/>
            <w:vAlign w:val="center"/>
          </w:tcPr>
          <w:p>
            <w:pPr>
              <w:snapToGrid w:val="0"/>
              <w:jc w:val="right"/>
            </w:pPr>
            <w:r>
              <w:rPr>
                <w:rFonts w:ascii="宋体" w:eastAsia="宋体" w:hAnsi="宋体" w:cs="宋体"/>
                <w:b w:val="0"/>
                <w:i w:val="0"/>
                <w:color w:val="000000"/>
                <w:sz w:val="15"/>
              </w:rPr>
              <w:t xml:space="preserve">2,402.00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24" w:name="_Toc1711974525"/>
      <w:r>
        <w:rPr>
          <w:rFonts w:ascii="黑体" w:eastAsia="黑体" w:hAnsi="黑体" w:cs="Times New Roman" w:hint="eastAsia"/>
          <w:sz w:val="30"/>
          <w:szCs w:val="30"/>
          <w:highlight w:val="none"/>
          <w:u w:val="none"/>
          <w:lang w:val="en-US" w:eastAsia="zh-CN"/>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单位：中共天津市委统一战线工作部宣传中心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780,841.88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673,439.88</w:t>
            </w:r>
          </w:p>
        </w:tc>
        <w:tc>
          <w:tcPr>
            <w:tcW w:w="1420" w:type="dxa"/>
            <w:tcBorders/>
            <w:vAlign w:val="center"/>
          </w:tcPr>
          <w:p>
            <w:pPr>
              <w:snapToGrid w:val="0"/>
              <w:jc w:val="right"/>
            </w:pPr>
            <w:r>
              <w:rPr>
                <w:rFonts w:ascii="宋体" w:eastAsia="宋体" w:hAnsi="宋体" w:cs="宋体"/>
                <w:b w:val="0"/>
                <w:i w:val="0"/>
                <w:color w:val="000000"/>
                <w:sz w:val="16"/>
              </w:rPr>
              <w:t xml:space="preserve">673,439.88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75,000.00</w:t>
            </w:r>
          </w:p>
        </w:tc>
        <w:tc>
          <w:tcPr>
            <w:tcW w:w="1420" w:type="dxa"/>
            <w:tcBorders/>
            <w:vAlign w:val="center"/>
          </w:tcPr>
          <w:p>
            <w:pPr>
              <w:snapToGrid w:val="0"/>
              <w:jc w:val="right"/>
            </w:pPr>
            <w:r>
              <w:rPr>
                <w:rFonts w:ascii="宋体" w:eastAsia="宋体" w:hAnsi="宋体" w:cs="宋体"/>
                <w:b w:val="0"/>
                <w:i w:val="0"/>
                <w:color w:val="000000"/>
                <w:sz w:val="16"/>
              </w:rPr>
              <w:t xml:space="preserve">75,000.00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32,402.00</w:t>
            </w:r>
          </w:p>
        </w:tc>
        <w:tc>
          <w:tcPr>
            <w:tcW w:w="1420" w:type="dxa"/>
            <w:tcBorders/>
            <w:vAlign w:val="center"/>
          </w:tcPr>
          <w:p>
            <w:pPr>
              <w:snapToGrid w:val="0"/>
              <w:jc w:val="right"/>
            </w:pPr>
            <w:r>
              <w:rPr>
                <w:rFonts w:ascii="宋体" w:eastAsia="宋体" w:hAnsi="宋体" w:cs="宋体"/>
                <w:b w:val="0"/>
                <w:i w:val="0"/>
                <w:color w:val="000000"/>
                <w:sz w:val="16"/>
              </w:rPr>
              <w:t xml:space="preserve">32,402.00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780,841.88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780,841.88</w:t>
            </w:r>
          </w:p>
        </w:tc>
        <w:tc>
          <w:tcPr>
            <w:tcW w:w="1420" w:type="dxa"/>
            <w:tcBorders/>
            <w:vAlign w:val="center"/>
          </w:tcPr>
          <w:p>
            <w:pPr>
              <w:snapToGrid w:val="0"/>
              <w:jc w:val="right"/>
            </w:pPr>
            <w:r>
              <w:rPr>
                <w:rFonts w:ascii="宋体" w:eastAsia="宋体" w:hAnsi="宋体" w:cs="宋体"/>
                <w:b w:val="0"/>
                <w:i w:val="0"/>
                <w:color w:val="000000"/>
                <w:sz w:val="16"/>
              </w:rPr>
              <w:t xml:space="preserve">780,841.88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780,841.88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780,841.88</w:t>
            </w:r>
          </w:p>
        </w:tc>
        <w:tc>
          <w:tcPr>
            <w:tcW w:w="1420" w:type="dxa"/>
            <w:tcBorders/>
            <w:vAlign w:val="center"/>
          </w:tcPr>
          <w:p>
            <w:pPr>
              <w:snapToGrid w:val="0"/>
              <w:jc w:val="right"/>
            </w:pPr>
            <w:r>
              <w:rPr>
                <w:rFonts w:ascii="宋体" w:eastAsia="宋体" w:hAnsi="宋体" w:cs="宋体"/>
                <w:b w:val="0"/>
                <w:i w:val="0"/>
                <w:color w:val="000000"/>
                <w:sz w:val="16"/>
              </w:rPr>
              <w:t xml:space="preserve">780,841.88</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bCs w:val="0"/>
          <w:sz w:val="30"/>
          <w:szCs w:val="30"/>
          <w:highlight w:val="none"/>
          <w:u w:val="none"/>
          <w:lang w:val="en-US" w:eastAsia="zh-CN"/>
        </w:rPr>
      </w:pPr>
      <w:bookmarkStart w:id="25" w:name="_Toc1169939169"/>
      <w:r>
        <w:rPr>
          <w:rFonts w:ascii="黑体" w:eastAsia="黑体" w:hAnsi="黑体" w:cs="Times New Roman" w:hint="eastAsia"/>
          <w:sz w:val="30"/>
          <w:szCs w:val="30"/>
          <w:highlight w:val="none"/>
          <w:u w:val="none"/>
          <w:lang w:val="en-US" w:eastAsia="zh-CN"/>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单位：中共天津市委统一战线工作部宣传中心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780,841.88</w:t>
            </w:r>
          </w:p>
        </w:tc>
        <w:tc>
          <w:tcPr>
            <w:tcW w:w="1720" w:type="dxa"/>
            <w:tcBorders/>
            <w:vAlign w:val="center"/>
          </w:tcPr>
          <w:p>
            <w:pPr>
              <w:snapToGrid w:val="0"/>
              <w:jc w:val="right"/>
            </w:pPr>
            <w:r>
              <w:rPr>
                <w:rFonts w:ascii="宋体" w:eastAsia="宋体" w:hAnsi="宋体" w:cs="宋体"/>
                <w:b w:val="0"/>
                <w:i w:val="0"/>
                <w:color w:val="000000"/>
                <w:sz w:val="20"/>
              </w:rPr>
              <w:t xml:space="preserve">780,841.88</w:t>
            </w:r>
          </w:p>
        </w:tc>
        <w:tc>
          <w:tcPr>
            <w:tcW w:w="1720" w:type="dxa"/>
            <w:tcBorders/>
            <w:vAlign w:val="center"/>
          </w:tcPr>
          <w:p>
            <w:pPr>
              <w:snapToGrid w:val="0"/>
              <w:jc w:val="right"/>
            </w:pPr>
            <w:r>
              <w:rPr>
                <w:rFonts w:ascii="宋体" w:eastAsia="宋体" w:hAnsi="宋体" w:cs="宋体"/>
                <w:b w:val="0"/>
                <w:i w:val="0"/>
                <w:color w:val="000000"/>
                <w:sz w:val="20"/>
              </w:rPr>
              <w:t xml:space="preserve">700,200.00</w:t>
            </w:r>
          </w:p>
        </w:tc>
        <w:tc>
          <w:tcPr>
            <w:tcW w:w="1720" w:type="dxa"/>
            <w:tcBorders/>
            <w:vAlign w:val="center"/>
          </w:tcPr>
          <w:p>
            <w:pPr>
              <w:snapToGrid w:val="0"/>
              <w:jc w:val="right"/>
            </w:pPr>
            <w:r>
              <w:rPr>
                <w:rFonts w:ascii="宋体" w:eastAsia="宋体" w:hAnsi="宋体" w:cs="宋体"/>
                <w:b w:val="0"/>
                <w:i w:val="0"/>
                <w:color w:val="000000"/>
                <w:sz w:val="20"/>
              </w:rPr>
              <w:t xml:space="preserve">80,641.88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673,439.88</w:t>
            </w:r>
          </w:p>
        </w:tc>
        <w:tc>
          <w:tcPr>
            <w:tcW w:w="1720" w:type="dxa"/>
            <w:tcBorders/>
            <w:vAlign w:val="center"/>
          </w:tcPr>
          <w:p>
            <w:pPr>
              <w:snapToGrid w:val="0"/>
              <w:jc w:val="right"/>
            </w:pPr>
            <w:r>
              <w:rPr>
                <w:rFonts w:ascii="宋体" w:eastAsia="宋体" w:hAnsi="宋体" w:cs="宋体"/>
                <w:b w:val="0"/>
                <w:i w:val="0"/>
                <w:color w:val="000000"/>
                <w:sz w:val="20"/>
              </w:rPr>
              <w:t xml:space="preserve">673,439.88</w:t>
            </w:r>
          </w:p>
        </w:tc>
        <w:tc>
          <w:tcPr>
            <w:tcW w:w="1720" w:type="dxa"/>
            <w:tcBorders/>
            <w:vAlign w:val="center"/>
          </w:tcPr>
          <w:p>
            <w:pPr>
              <w:snapToGrid w:val="0"/>
              <w:jc w:val="right"/>
            </w:pPr>
            <w:r>
              <w:rPr>
                <w:rFonts w:ascii="宋体" w:eastAsia="宋体" w:hAnsi="宋体" w:cs="宋体"/>
                <w:b w:val="0"/>
                <w:i w:val="0"/>
                <w:color w:val="000000"/>
                <w:sz w:val="20"/>
              </w:rPr>
              <w:t xml:space="preserve">592,798.00</w:t>
            </w:r>
          </w:p>
        </w:tc>
        <w:tc>
          <w:tcPr>
            <w:tcW w:w="1720" w:type="dxa"/>
            <w:tcBorders/>
            <w:vAlign w:val="center"/>
          </w:tcPr>
          <w:p>
            <w:pPr>
              <w:snapToGrid w:val="0"/>
              <w:jc w:val="right"/>
            </w:pPr>
            <w:r>
              <w:rPr>
                <w:rFonts w:ascii="宋体" w:eastAsia="宋体" w:hAnsi="宋体" w:cs="宋体"/>
                <w:b w:val="0"/>
                <w:i w:val="0"/>
                <w:color w:val="000000"/>
                <w:sz w:val="20"/>
              </w:rPr>
              <w:t xml:space="preserve">80,641.88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20134</w:t>
            </w:r>
          </w:p>
        </w:tc>
        <w:tc>
          <w:tcPr>
            <w:tcW w:w="3480" w:type="dxa"/>
            <w:tcBorders/>
            <w:vAlign w:val="center"/>
          </w:tcPr>
          <w:p>
            <w:pPr>
              <w:snapToGrid w:val="0"/>
              <w:jc w:val="left"/>
            </w:pPr>
            <w:r>
              <w:rPr>
                <w:rFonts w:ascii="宋体" w:eastAsia="宋体" w:hAnsi="宋体" w:cs="宋体"/>
                <w:b w:val="0"/>
                <w:i w:val="0"/>
                <w:color w:val="000000"/>
                <w:sz w:val="20"/>
              </w:rPr>
              <w:t xml:space="preserve">统战事务</w:t>
            </w:r>
          </w:p>
        </w:tc>
        <w:tc>
          <w:tcPr>
            <w:tcW w:w="1720" w:type="dxa"/>
            <w:tcBorders/>
            <w:vAlign w:val="center"/>
          </w:tcPr>
          <w:p>
            <w:pPr>
              <w:snapToGrid w:val="0"/>
              <w:jc w:val="right"/>
            </w:pPr>
            <w:r>
              <w:rPr>
                <w:rFonts w:ascii="宋体" w:eastAsia="宋体" w:hAnsi="宋体" w:cs="宋体"/>
                <w:b w:val="0"/>
                <w:i w:val="0"/>
                <w:color w:val="000000"/>
                <w:sz w:val="20"/>
              </w:rPr>
              <w:t xml:space="preserve">673,439.88</w:t>
            </w:r>
          </w:p>
        </w:tc>
        <w:tc>
          <w:tcPr>
            <w:tcW w:w="1720" w:type="dxa"/>
            <w:tcBorders/>
            <w:vAlign w:val="center"/>
          </w:tcPr>
          <w:p>
            <w:pPr>
              <w:snapToGrid w:val="0"/>
              <w:jc w:val="right"/>
            </w:pPr>
            <w:r>
              <w:rPr>
                <w:rFonts w:ascii="宋体" w:eastAsia="宋体" w:hAnsi="宋体" w:cs="宋体"/>
                <w:b w:val="0"/>
                <w:i w:val="0"/>
                <w:color w:val="000000"/>
                <w:sz w:val="20"/>
              </w:rPr>
              <w:t xml:space="preserve">673,439.88</w:t>
            </w:r>
          </w:p>
        </w:tc>
        <w:tc>
          <w:tcPr>
            <w:tcW w:w="1720" w:type="dxa"/>
            <w:tcBorders/>
            <w:vAlign w:val="center"/>
          </w:tcPr>
          <w:p>
            <w:pPr>
              <w:snapToGrid w:val="0"/>
              <w:jc w:val="right"/>
            </w:pPr>
            <w:r>
              <w:rPr>
                <w:rFonts w:ascii="宋体" w:eastAsia="宋体" w:hAnsi="宋体" w:cs="宋体"/>
                <w:b w:val="0"/>
                <w:i w:val="0"/>
                <w:color w:val="000000"/>
                <w:sz w:val="20"/>
              </w:rPr>
              <w:t xml:space="preserve">592,798.00</w:t>
            </w:r>
          </w:p>
        </w:tc>
        <w:tc>
          <w:tcPr>
            <w:tcW w:w="1720" w:type="dxa"/>
            <w:tcBorders/>
            <w:vAlign w:val="center"/>
          </w:tcPr>
          <w:p>
            <w:pPr>
              <w:snapToGrid w:val="0"/>
              <w:jc w:val="right"/>
            </w:pPr>
            <w:r>
              <w:rPr>
                <w:rFonts w:ascii="宋体" w:eastAsia="宋体" w:hAnsi="宋体" w:cs="宋体"/>
                <w:b w:val="0"/>
                <w:i w:val="0"/>
                <w:color w:val="000000"/>
                <w:sz w:val="20"/>
              </w:rPr>
              <w:t xml:space="preserve">80,641.88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2013450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673,439.88</w:t>
            </w:r>
          </w:p>
        </w:tc>
        <w:tc>
          <w:tcPr>
            <w:tcW w:w="1720" w:type="dxa"/>
            <w:tcBorders/>
            <w:vAlign w:val="center"/>
          </w:tcPr>
          <w:p>
            <w:pPr>
              <w:snapToGrid w:val="0"/>
              <w:jc w:val="right"/>
            </w:pPr>
            <w:r>
              <w:rPr>
                <w:rFonts w:ascii="宋体" w:eastAsia="宋体" w:hAnsi="宋体" w:cs="宋体"/>
                <w:b w:val="0"/>
                <w:i w:val="0"/>
                <w:color w:val="000000"/>
                <w:sz w:val="20"/>
              </w:rPr>
              <w:t xml:space="preserve">673,439.88</w:t>
            </w:r>
          </w:p>
        </w:tc>
        <w:tc>
          <w:tcPr>
            <w:tcW w:w="1720" w:type="dxa"/>
            <w:tcBorders/>
            <w:vAlign w:val="center"/>
          </w:tcPr>
          <w:p>
            <w:pPr>
              <w:snapToGrid w:val="0"/>
              <w:jc w:val="right"/>
            </w:pPr>
            <w:r>
              <w:rPr>
                <w:rFonts w:ascii="宋体" w:eastAsia="宋体" w:hAnsi="宋体" w:cs="宋体"/>
                <w:b w:val="0"/>
                <w:i w:val="0"/>
                <w:color w:val="000000"/>
                <w:sz w:val="20"/>
              </w:rPr>
              <w:t xml:space="preserve">592,798.00</w:t>
            </w:r>
          </w:p>
        </w:tc>
        <w:tc>
          <w:tcPr>
            <w:tcW w:w="1720" w:type="dxa"/>
            <w:tcBorders/>
            <w:vAlign w:val="center"/>
          </w:tcPr>
          <w:p>
            <w:pPr>
              <w:snapToGrid w:val="0"/>
              <w:jc w:val="right"/>
            </w:pPr>
            <w:r>
              <w:rPr>
                <w:rFonts w:ascii="宋体" w:eastAsia="宋体" w:hAnsi="宋体" w:cs="宋体"/>
                <w:b w:val="0"/>
                <w:i w:val="0"/>
                <w:color w:val="000000"/>
                <w:sz w:val="20"/>
              </w:rPr>
              <w:t xml:space="preserve">80,641.88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75,000.00</w:t>
            </w:r>
          </w:p>
        </w:tc>
        <w:tc>
          <w:tcPr>
            <w:tcW w:w="1720" w:type="dxa"/>
            <w:tcBorders/>
            <w:vAlign w:val="center"/>
          </w:tcPr>
          <w:p>
            <w:pPr>
              <w:snapToGrid w:val="0"/>
              <w:jc w:val="right"/>
            </w:pPr>
            <w:r>
              <w:rPr>
                <w:rFonts w:ascii="宋体" w:eastAsia="宋体" w:hAnsi="宋体" w:cs="宋体"/>
                <w:b w:val="0"/>
                <w:i w:val="0"/>
                <w:color w:val="000000"/>
                <w:sz w:val="20"/>
              </w:rPr>
              <w:t xml:space="preserve">75,000.00</w:t>
            </w:r>
          </w:p>
        </w:tc>
        <w:tc>
          <w:tcPr>
            <w:tcW w:w="1720" w:type="dxa"/>
            <w:tcBorders/>
            <w:vAlign w:val="center"/>
          </w:tcPr>
          <w:p>
            <w:pPr>
              <w:snapToGrid w:val="0"/>
              <w:jc w:val="right"/>
            </w:pPr>
            <w:r>
              <w:rPr>
                <w:rFonts w:ascii="宋体" w:eastAsia="宋体" w:hAnsi="宋体" w:cs="宋体"/>
                <w:b w:val="0"/>
                <w:i w:val="0"/>
                <w:color w:val="000000"/>
                <w:sz w:val="20"/>
              </w:rPr>
              <w:t xml:space="preserve">75,000.00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75,000.00</w:t>
            </w:r>
          </w:p>
        </w:tc>
        <w:tc>
          <w:tcPr>
            <w:tcW w:w="1720" w:type="dxa"/>
            <w:tcBorders/>
            <w:vAlign w:val="center"/>
          </w:tcPr>
          <w:p>
            <w:pPr>
              <w:snapToGrid w:val="0"/>
              <w:jc w:val="right"/>
            </w:pPr>
            <w:r>
              <w:rPr>
                <w:rFonts w:ascii="宋体" w:eastAsia="宋体" w:hAnsi="宋体" w:cs="宋体"/>
                <w:b w:val="0"/>
                <w:i w:val="0"/>
                <w:color w:val="000000"/>
                <w:sz w:val="20"/>
              </w:rPr>
              <w:t xml:space="preserve">75,000.00</w:t>
            </w:r>
          </w:p>
        </w:tc>
        <w:tc>
          <w:tcPr>
            <w:tcW w:w="1720" w:type="dxa"/>
            <w:tcBorders/>
            <w:vAlign w:val="center"/>
          </w:tcPr>
          <w:p>
            <w:pPr>
              <w:snapToGrid w:val="0"/>
              <w:jc w:val="right"/>
            </w:pPr>
            <w:r>
              <w:rPr>
                <w:rFonts w:ascii="宋体" w:eastAsia="宋体" w:hAnsi="宋体" w:cs="宋体"/>
                <w:b w:val="0"/>
                <w:i w:val="0"/>
                <w:color w:val="000000"/>
                <w:sz w:val="20"/>
              </w:rPr>
              <w:t xml:space="preserve">75,000.00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50,000.00</w:t>
            </w:r>
          </w:p>
        </w:tc>
        <w:tc>
          <w:tcPr>
            <w:tcW w:w="1720" w:type="dxa"/>
            <w:tcBorders/>
            <w:vAlign w:val="center"/>
          </w:tcPr>
          <w:p>
            <w:pPr>
              <w:snapToGrid w:val="0"/>
              <w:jc w:val="right"/>
            </w:pPr>
            <w:r>
              <w:rPr>
                <w:rFonts w:ascii="宋体" w:eastAsia="宋体" w:hAnsi="宋体" w:cs="宋体"/>
                <w:b w:val="0"/>
                <w:i w:val="0"/>
                <w:color w:val="000000"/>
                <w:sz w:val="20"/>
              </w:rPr>
              <w:t xml:space="preserve">50,000.00</w:t>
            </w:r>
          </w:p>
        </w:tc>
        <w:tc>
          <w:tcPr>
            <w:tcW w:w="1720" w:type="dxa"/>
            <w:tcBorders/>
            <w:vAlign w:val="center"/>
          </w:tcPr>
          <w:p>
            <w:pPr>
              <w:snapToGrid w:val="0"/>
              <w:jc w:val="right"/>
            </w:pPr>
            <w:r>
              <w:rPr>
                <w:rFonts w:ascii="宋体" w:eastAsia="宋体" w:hAnsi="宋体" w:cs="宋体"/>
                <w:b w:val="0"/>
                <w:i w:val="0"/>
                <w:color w:val="000000"/>
                <w:sz w:val="20"/>
              </w:rPr>
              <w:t xml:space="preserve">50,000.00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25,000.00</w:t>
            </w:r>
          </w:p>
        </w:tc>
        <w:tc>
          <w:tcPr>
            <w:tcW w:w="1720" w:type="dxa"/>
            <w:tcBorders/>
            <w:vAlign w:val="center"/>
          </w:tcPr>
          <w:p>
            <w:pPr>
              <w:snapToGrid w:val="0"/>
              <w:jc w:val="right"/>
            </w:pPr>
            <w:r>
              <w:rPr>
                <w:rFonts w:ascii="宋体" w:eastAsia="宋体" w:hAnsi="宋体" w:cs="宋体"/>
                <w:b w:val="0"/>
                <w:i w:val="0"/>
                <w:color w:val="000000"/>
                <w:sz w:val="20"/>
              </w:rPr>
              <w:t xml:space="preserve">25,000.00</w:t>
            </w:r>
          </w:p>
        </w:tc>
        <w:tc>
          <w:tcPr>
            <w:tcW w:w="1720" w:type="dxa"/>
            <w:tcBorders/>
            <w:vAlign w:val="center"/>
          </w:tcPr>
          <w:p>
            <w:pPr>
              <w:snapToGrid w:val="0"/>
              <w:jc w:val="right"/>
            </w:pPr>
            <w:r>
              <w:rPr>
                <w:rFonts w:ascii="宋体" w:eastAsia="宋体" w:hAnsi="宋体" w:cs="宋体"/>
                <w:b w:val="0"/>
                <w:i w:val="0"/>
                <w:color w:val="000000"/>
                <w:sz w:val="20"/>
              </w:rPr>
              <w:t xml:space="preserve">25,000.00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32,402.00</w:t>
            </w:r>
          </w:p>
        </w:tc>
        <w:tc>
          <w:tcPr>
            <w:tcW w:w="1720" w:type="dxa"/>
            <w:tcBorders/>
            <w:vAlign w:val="center"/>
          </w:tcPr>
          <w:p>
            <w:pPr>
              <w:snapToGrid w:val="0"/>
              <w:jc w:val="right"/>
            </w:pPr>
            <w:r>
              <w:rPr>
                <w:rFonts w:ascii="宋体" w:eastAsia="宋体" w:hAnsi="宋体" w:cs="宋体"/>
                <w:b w:val="0"/>
                <w:i w:val="0"/>
                <w:color w:val="000000"/>
                <w:sz w:val="20"/>
              </w:rPr>
              <w:t xml:space="preserve">32,402.00</w:t>
            </w:r>
          </w:p>
        </w:tc>
        <w:tc>
          <w:tcPr>
            <w:tcW w:w="1720" w:type="dxa"/>
            <w:tcBorders/>
            <w:vAlign w:val="center"/>
          </w:tcPr>
          <w:p>
            <w:pPr>
              <w:snapToGrid w:val="0"/>
              <w:jc w:val="right"/>
            </w:pPr>
            <w:r>
              <w:rPr>
                <w:rFonts w:ascii="宋体" w:eastAsia="宋体" w:hAnsi="宋体" w:cs="宋体"/>
                <w:b w:val="0"/>
                <w:i w:val="0"/>
                <w:color w:val="000000"/>
                <w:sz w:val="20"/>
              </w:rPr>
              <w:t xml:space="preserve">32,402.00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32,402.00</w:t>
            </w:r>
          </w:p>
        </w:tc>
        <w:tc>
          <w:tcPr>
            <w:tcW w:w="1720" w:type="dxa"/>
            <w:tcBorders/>
            <w:vAlign w:val="center"/>
          </w:tcPr>
          <w:p>
            <w:pPr>
              <w:snapToGrid w:val="0"/>
              <w:jc w:val="right"/>
            </w:pPr>
            <w:r>
              <w:rPr>
                <w:rFonts w:ascii="宋体" w:eastAsia="宋体" w:hAnsi="宋体" w:cs="宋体"/>
                <w:b w:val="0"/>
                <w:i w:val="0"/>
                <w:color w:val="000000"/>
                <w:sz w:val="20"/>
              </w:rPr>
              <w:t xml:space="preserve">32,402.00</w:t>
            </w:r>
          </w:p>
        </w:tc>
        <w:tc>
          <w:tcPr>
            <w:tcW w:w="1720" w:type="dxa"/>
            <w:tcBorders/>
            <w:vAlign w:val="center"/>
          </w:tcPr>
          <w:p>
            <w:pPr>
              <w:snapToGrid w:val="0"/>
              <w:jc w:val="right"/>
            </w:pPr>
            <w:r>
              <w:rPr>
                <w:rFonts w:ascii="宋体" w:eastAsia="宋体" w:hAnsi="宋体" w:cs="宋体"/>
                <w:b w:val="0"/>
                <w:i w:val="0"/>
                <w:color w:val="000000"/>
                <w:sz w:val="20"/>
              </w:rPr>
              <w:t xml:space="preserve">32,402.00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30,000.00</w:t>
            </w:r>
          </w:p>
        </w:tc>
        <w:tc>
          <w:tcPr>
            <w:tcW w:w="1720" w:type="dxa"/>
            <w:tcBorders/>
            <w:vAlign w:val="center"/>
          </w:tcPr>
          <w:p>
            <w:pPr>
              <w:snapToGrid w:val="0"/>
              <w:jc w:val="right"/>
            </w:pPr>
            <w:r>
              <w:rPr>
                <w:rFonts w:ascii="宋体" w:eastAsia="宋体" w:hAnsi="宋体" w:cs="宋体"/>
                <w:b w:val="0"/>
                <w:i w:val="0"/>
                <w:color w:val="000000"/>
                <w:sz w:val="20"/>
              </w:rPr>
              <w:t xml:space="preserve">30,000.00</w:t>
            </w:r>
          </w:p>
        </w:tc>
        <w:tc>
          <w:tcPr>
            <w:tcW w:w="1720" w:type="dxa"/>
            <w:tcBorders/>
            <w:vAlign w:val="center"/>
          </w:tcPr>
          <w:p>
            <w:pPr>
              <w:snapToGrid w:val="0"/>
              <w:jc w:val="right"/>
            </w:pPr>
            <w:r>
              <w:rPr>
                <w:rFonts w:ascii="宋体" w:eastAsia="宋体" w:hAnsi="宋体" w:cs="宋体"/>
                <w:b w:val="0"/>
                <w:i w:val="0"/>
                <w:color w:val="000000"/>
                <w:sz w:val="20"/>
              </w:rPr>
              <w:t xml:space="preserve">30,000.00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2,402.00</w:t>
            </w:r>
          </w:p>
        </w:tc>
        <w:tc>
          <w:tcPr>
            <w:tcW w:w="1720" w:type="dxa"/>
            <w:tcBorders/>
            <w:vAlign w:val="center"/>
          </w:tcPr>
          <w:p>
            <w:pPr>
              <w:snapToGrid w:val="0"/>
              <w:jc w:val="right"/>
            </w:pPr>
            <w:r>
              <w:rPr>
                <w:rFonts w:ascii="宋体" w:eastAsia="宋体" w:hAnsi="宋体" w:cs="宋体"/>
                <w:b w:val="0"/>
                <w:i w:val="0"/>
                <w:color w:val="000000"/>
                <w:sz w:val="20"/>
              </w:rPr>
              <w:t xml:space="preserve">2,402.00</w:t>
            </w:r>
          </w:p>
        </w:tc>
        <w:tc>
          <w:tcPr>
            <w:tcW w:w="1720" w:type="dxa"/>
            <w:tcBorders/>
            <w:vAlign w:val="center"/>
          </w:tcPr>
          <w:p>
            <w:pPr>
              <w:snapToGrid w:val="0"/>
              <w:jc w:val="right"/>
            </w:pPr>
            <w:r>
              <w:rPr>
                <w:rFonts w:ascii="宋体" w:eastAsia="宋体" w:hAnsi="宋体" w:cs="宋体"/>
                <w:b w:val="0"/>
                <w:i w:val="0"/>
                <w:color w:val="000000"/>
                <w:sz w:val="20"/>
              </w:rPr>
              <w:t xml:space="preserve">2,402.00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bCs w:val="0"/>
          <w:sz w:val="30"/>
          <w:szCs w:val="30"/>
          <w:highlight w:val="none"/>
          <w:u w:val="none"/>
          <w:lang w:val="en-US" w:eastAsia="zh-CN"/>
        </w:rPr>
      </w:pPr>
      <w:bookmarkStart w:id="26" w:name="_Toc807341451"/>
      <w:r>
        <w:rPr>
          <w:rFonts w:ascii="黑体" w:eastAsia="黑体" w:hAnsi="黑体" w:cs="Times New Roman" w:hint="eastAsia"/>
          <w:sz w:val="30"/>
          <w:szCs w:val="30"/>
          <w:highlight w:val="none"/>
          <w:u w:val="none"/>
          <w:lang w:val="en-US" w:eastAsia="zh-CN"/>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单位：中共天津市委统一战线工作部宣传中心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700,200.00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80,641.88</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135,416.00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6,099.98</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79,121.10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24,000.00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300.00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187,337.78</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51,105.28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25,552.64</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2,499.60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31,941.20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2,236.00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3,681.39</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173,992.00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13,498.00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3,900.00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164.32</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34,996.59</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700,200.00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80,641.88</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r>
        <w:br w:type="page"/>
      </w:r>
      <w:bookmarkStart w:id="27" w:name="_Toc1972277765"/>
      <w:bookmarkStart w:id="28" w:name="_Toc2050619938"/>
      <w:bookmarkStart w:id="29" w:name="_Toc1059543692"/>
      <w:bookmarkStart w:id="30" w:name="_Toc1186085211"/>
      <w:r>
        <w:rPr>
          <w:rFonts w:ascii="黑体" w:eastAsia="黑体" w:hAnsi="黑体" w:cs="Times New Roman" w:hint="eastAsia"/>
          <w:sz w:val="30"/>
          <w:szCs w:val="30"/>
          <w:highlight w:val="none"/>
          <w:u w:val="none"/>
          <w:lang w:val="en-US" w:eastAsia="zh-CN"/>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单位：中共天津市委统一战线工作部宣传中心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中共天津市委统一战线工作部宣传中心2024年度政府性基金预算财政拨款收入支出决算表为空表。</w:t>
      </w:r>
      <w:bookmarkStart w:id="31" w:name="_Toc1662304910"/>
      <w:bookmarkStart w:id="32" w:name="_Toc816430520"/>
      <w:bookmarkStart w:id="33" w:name="_Toc1951730910"/>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34" w:name="_Toc1590929823"/>
      <w:r>
        <w:rPr>
          <w:rFonts w:ascii="黑体" w:eastAsia="黑体" w:hAnsi="黑体" w:cs="Times New Roman" w:hint="eastAsia"/>
          <w:sz w:val="30"/>
          <w:szCs w:val="30"/>
          <w:highlight w:val="none"/>
          <w:u w:val="none"/>
          <w:lang w:val="en-US" w:eastAsia="zh-CN"/>
        </w:rPr>
        <w:t xml:space="preserve">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单位：中共天津市委统一战线工作部宣传中心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中共天津市委统一战线工作部宣传中心2024年国有资本经营预算财政拨款收入支出决算表为空表。</w:t>
      </w:r>
      <w:bookmarkStart w:id="35" w:name="_Toc2076180092"/>
      <w:bookmarkStart w:id="36" w:name="_Toc1743858547"/>
      <w:bookmarkStart w:id="37" w:name="_Toc1474728957"/>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bookmarkStart w:id="38" w:name="_Toc438646364"/>
      <w:r>
        <w:rPr>
          <w:rFonts w:ascii="黑体" w:eastAsia="黑体" w:hAnsi="黑体" w:cs="Times New Roman" w:hint="eastAsia"/>
          <w:sz w:val="30"/>
          <w:szCs w:val="30"/>
          <w:highlight w:val="none"/>
          <w:u w:val="none"/>
          <w:lang w:val="en-US" w:eastAsia="zh-CN"/>
        </w:rPr>
        <w:t xml:space="preserve">十、《财政拨款“三公”经费支出决算表》</w:t>
      </w:r>
      <w:bookmarkEnd w:id="35"/>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单位：中共天津市委统一战线工作部宣传中心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中共天津市委统一战线工作部宣传中心2024年财政拨款“三公”经费支出决算表为空表。</w:t>
      </w:r>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bookmarkStart w:id="39" w:name="_Toc1660810272"/>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0" w:name="_Toc173785173"/>
      <w:bookmarkStart w:id="41" w:name="_Toc18079597"/>
      <w:bookmarkStart w:id="42" w:name="_Toc2044509788"/>
      <w:r>
        <w:rPr>
          <w:rFonts w:ascii="黑体" w:eastAsia="黑体" w:hAnsi="黑体" w:cs="Times New Roman" w:hint="eastAsia"/>
          <w:sz w:val="30"/>
          <w:szCs w:val="30"/>
          <w:highlight w:val="none"/>
          <w:u w:val="none"/>
          <w:lang w:val="en-US" w:eastAsia="zh-CN"/>
        </w:rPr>
        <w:t xml:space="preserve">十一、《项目支出决算表》</w:t>
      </w:r>
      <w:bookmarkEnd w:id="40"/>
      <w:bookmarkEnd w:id="41"/>
      <w:bookmarkEnd w:id="4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单位：中共天津市委统一战线工作部宣传中心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p>
        </w:tc>
        <w:tc>
          <w:tcPr>
            <w:tcW w:w="4560" w:type="dxa"/>
            <w:tcBorders/>
            <w:vAlign w:val="center"/>
          </w:tcPr>
          <w:p>
            <w:pP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21"/>
          <w:szCs w:val="21"/>
          <w:highlight w:val="none"/>
          <w:u w:val="none"/>
          <w:lang w:val="en-US" w:eastAsia="zh-CN"/>
        </w:rPr>
      </w:pPr>
      <w:r>
        <w:rPr>
          <w:rFonts w:ascii="黑体" w:eastAsia="黑体" w:hAnsi="仿宋" w:cs="Times New Roman" w:hint="eastAsia"/>
          <w:sz w:val="21"/>
          <w:szCs w:val="21"/>
          <w:highlight w:val="none"/>
          <w:u w:val="none"/>
          <w:lang w:val="en-US" w:eastAsia="zh-CN"/>
        </w:rPr>
        <w:t xml:space="preserve">中共天津市委统一战线工作部宣传中心2024年项目支出决算表为空表。</w:t>
      </w:r>
    </w:p>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rPr>
          <w:rFonts w:ascii="黑体" w:eastAsia="黑体" w:hint="eastAsia"/>
          <w:sz w:val="30"/>
          <w:szCs w:val="30"/>
          <w:highlight w:val="none"/>
          <w:u w:val="none"/>
          <w:lang w:val="en-US" w:eastAsia="zh-CN"/>
        </w:rPr>
      </w:pPr>
      <w:bookmarkEnd w:id="39"/>
      <w:bookmarkStart w:id="43" w:name="_Toc229642691"/>
      <w:bookmarkStart w:id="44" w:name="_Toc245797798"/>
      <w:bookmarkStart w:id="45" w:name="_Toc190171269"/>
      <w:bookmarkStart w:id="46" w:name="_Toc1068592552"/>
      <w:r>
        <w:rPr>
          <w:rFonts w:ascii="方正小标宋简体" w:eastAsia="方正小标宋简体" w:hAnsi="方正小标宋简体" w:cs="方正小标宋简体" w:hint="eastAsia"/>
          <w:b w:val="0"/>
          <w:sz w:val="44"/>
          <w:szCs w:val="44"/>
          <w:highlight w:val="none"/>
          <w:u w:val="none"/>
          <w:lang w:val="en-US" w:eastAsia="zh-CN"/>
        </w:rPr>
        <w:t xml:space="preserve">第三部分 2024年度部门决算情况说明</w:t>
      </w:r>
      <w:bookmarkEnd w:id="43"/>
      <w:bookmarkEnd w:id="44"/>
      <w:bookmarkEnd w:id="45"/>
      <w:bookmarkEnd w:id="46"/>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47" w:name="_Toc1512537805"/>
      <w:bookmarkStart w:id="48" w:name="_Toc429281603"/>
      <w:bookmarkStart w:id="49" w:name="_Toc576593978"/>
      <w:bookmarkStart w:id="50" w:name="_Toc752851347"/>
      <w:r>
        <w:rPr>
          <w:rFonts w:ascii="黑体" w:eastAsia="黑体" w:hAnsi="黑体" w:hint="eastAsia"/>
          <w:bCs w:val="0"/>
          <w:sz w:val="30"/>
          <w:szCs w:val="30"/>
          <w:highlight w:val="none"/>
          <w:u w:val="none"/>
          <w:lang w:val="en-US" w:eastAsia="zh-CN"/>
        </w:rPr>
        <w:t xml:space="preserve">一、收入支出决算总体情况说明</w:t>
      </w:r>
      <w:bookmarkEnd w:id="47"/>
      <w:bookmarkEnd w:id="48"/>
      <w:bookmarkEnd w:id="49"/>
      <w:bookmarkEnd w:id="50"/>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中共天津市委统一战线工作部宣传中心</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780,899.79</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w:t>
      </w:r>
      <w:r>
        <w:rPr>
          <w:rFonts w:eastAsia="仿宋_GB2312"/>
          <w:sz w:val="30"/>
          <w:szCs w:val="30"/>
          <w:highlight w:val="none"/>
          <w:u w:val="none"/>
          <w:lang w:val="en-US" w:eastAsia="zh-CN"/>
        </w:rPr>
        <w:t xml:space="preserve">与</w:t>
      </w:r>
      <w:r>
        <w:rPr>
          <w:rFonts w:eastAsia="仿宋_GB2312" w:hint="eastAsia"/>
          <w:sz w:val="30"/>
          <w:szCs w:val="30"/>
          <w:highlight w:val="none"/>
          <w:u w:val="none"/>
          <w:lang w:val="en-US" w:eastAsia="zh-CN"/>
        </w:rPr>
        <w:t xml:space="preserve">2023</w:t>
      </w:r>
      <w:r>
        <w:rPr>
          <w:rFonts w:eastAsia="仿宋_GB2312"/>
          <w:sz w:val="30"/>
          <w:szCs w:val="30"/>
          <w:highlight w:val="none"/>
          <w:u w:val="none"/>
          <w:lang w:val="en-US" w:eastAsia="zh-CN"/>
        </w:rPr>
        <w:t xml:space="preserve">年</w:t>
      </w:r>
      <w:r>
        <w:rPr>
          <w:rFonts w:eastAsia="仿宋_GB2312" w:hint="eastAsia"/>
          <w:sz w:val="30"/>
          <w:szCs w:val="30"/>
          <w:highlight w:val="none"/>
          <w:u w:val="none"/>
          <w:lang w:val="en-US" w:eastAsia="zh-CN"/>
        </w:rPr>
        <w:t xml:space="preserve">度相比，收、支总计各</w:t>
      </w:r>
      <w:r>
        <w:rPr>
          <w:rFonts w:eastAsia="仿宋_GB2312" w:hint="eastAsia"/>
          <w:sz w:val="30"/>
          <w:szCs w:val="30"/>
          <w:highlight w:val="none"/>
          <w:u w:val="none"/>
          <w:lang w:val="en-US" w:eastAsia="zh-CN"/>
        </w:rPr>
        <w:t xml:space="preserve">增加19,433.26元，增长2.552%</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本年度单位人员增加，从而增加了相关预算经费</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一般公共预算财政拨款收入780,841.88元、其他收入57.91元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一般公共服务支出673,439.88元、社会保障和就业支出75,000.00元、卫生健康支出32,402.00元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1" w:name="_Toc198940905"/>
      <w:bookmarkStart w:id="52" w:name="_Toc1458959096"/>
      <w:bookmarkStart w:id="53" w:name="_Toc1538331348"/>
      <w:bookmarkStart w:id="54" w:name="_Toc1368772982"/>
      <w:r>
        <w:rPr>
          <w:rFonts w:ascii="黑体" w:eastAsia="黑体" w:hAnsi="黑体" w:cs="仿宋_GB2312" w:hint="eastAsia"/>
          <w:bCs w:val="0"/>
          <w:sz w:val="30"/>
          <w:szCs w:val="30"/>
          <w:highlight w:val="none"/>
          <w:u w:val="none"/>
          <w:lang w:val="en-US" w:eastAsia="zh-CN"/>
        </w:rPr>
        <w:t xml:space="preserve">二、收入决算情况说明</w:t>
      </w:r>
      <w:bookmarkEnd w:id="51"/>
      <w:bookmarkEnd w:id="52"/>
      <w:bookmarkEnd w:id="53"/>
      <w:bookmarkEnd w:id="54"/>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中共天津市委统一战线工作部宣传中心</w:t>
      </w:r>
      <w:r>
        <w:rPr>
          <w:rFonts w:eastAsia="仿宋_GB2312" w:hint="eastAsia"/>
          <w:sz w:val="30"/>
          <w:szCs w:val="30"/>
          <w:highlight w:val="none"/>
          <w:u w:val="none"/>
          <w:lang w:val="en-US" w:eastAsia="zh-CN"/>
        </w:rPr>
        <w:t xml:space="preserve">2024年度本年收入合计</w:t>
      </w:r>
      <w:r>
        <w:rPr>
          <w:rFonts w:eastAsia="仿宋_GB2312" w:hint="eastAsia"/>
          <w:sz w:val="30"/>
          <w:szCs w:val="30"/>
          <w:highlight w:val="none"/>
          <w:u w:val="none"/>
          <w:lang w:val="en-US" w:eastAsia="zh-CN"/>
        </w:rPr>
        <w:t xml:space="preserve">780,899.79</w:t>
      </w:r>
      <w:r>
        <w:rPr>
          <w:rFonts w:eastAsia="仿宋_GB2312" w:hint="eastAsia"/>
          <w:sz w:val="30"/>
          <w:szCs w:val="30"/>
          <w:highlight w:val="none"/>
          <w:u w:val="none"/>
          <w:lang w:val="en-US" w:eastAsia="zh-CN"/>
        </w:rPr>
        <w:t xml:space="preserve">元，与2023年度相比</w:t>
      </w:r>
      <w:r>
        <w:rPr>
          <w:rFonts w:eastAsia="仿宋_GB2312" w:hint="eastAsia"/>
          <w:sz w:val="30"/>
          <w:szCs w:val="30"/>
          <w:highlight w:val="none"/>
          <w:u w:val="none"/>
          <w:lang w:val="en-US" w:eastAsia="zh-CN"/>
        </w:rPr>
        <w:t xml:space="preserve">增加19,433.26元，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本年度单位人员增加，从而增加了相关预算经费</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一般公共预算财政拨款收入780,841.88元，占99.993%；其他收入57.91元，占0.007%</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5" w:name="_Toc1122681810"/>
      <w:bookmarkStart w:id="56" w:name="_Toc2115235603"/>
      <w:bookmarkStart w:id="57" w:name="_Toc1179339603"/>
      <w:bookmarkStart w:id="58" w:name="_Toc757245026"/>
      <w:r>
        <w:rPr>
          <w:rFonts w:ascii="黑体" w:eastAsia="黑体" w:hAnsi="黑体" w:cs="仿宋_GB2312" w:hint="eastAsia"/>
          <w:bCs w:val="0"/>
          <w:sz w:val="30"/>
          <w:szCs w:val="30"/>
          <w:highlight w:val="none"/>
          <w:u w:val="none"/>
          <w:lang w:val="en-US" w:eastAsia="zh-CN"/>
        </w:rPr>
        <w:t xml:space="preserve">三、支出决算情况说明</w:t>
      </w:r>
      <w:bookmarkEnd w:id="55"/>
      <w:bookmarkEnd w:id="56"/>
      <w:bookmarkEnd w:id="57"/>
      <w:bookmarkEnd w:id="58"/>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中共天津市委统一战线工作部宣传中心</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本年</w:t>
      </w:r>
      <w:r>
        <w:rPr>
          <w:rFonts w:eastAsia="仿宋_GB2312"/>
          <w:sz w:val="30"/>
          <w:szCs w:val="30"/>
          <w:highlight w:val="none"/>
          <w:u w:val="none"/>
          <w:lang w:val="en-US" w:eastAsia="zh-CN"/>
        </w:rPr>
        <w:t xml:space="preserve">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780,841.88</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增加19,605.56元，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本年度单位人员增加，从而增加了相关经费支出</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基本支出780,841.88元，占100.000%</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59" w:name="_Toc1320487183"/>
      <w:bookmarkStart w:id="60" w:name="_Toc1029059860"/>
      <w:bookmarkStart w:id="61" w:name="_Toc1121858128"/>
      <w:bookmarkStart w:id="62" w:name="_Toc2034129458"/>
      <w:r>
        <w:rPr>
          <w:rFonts w:ascii="黑体" w:eastAsia="黑体" w:hAnsi="黑体" w:hint="eastAsia"/>
          <w:bCs w:val="0"/>
          <w:sz w:val="30"/>
          <w:szCs w:val="30"/>
          <w:highlight w:val="none"/>
          <w:u w:val="none"/>
          <w:lang w:val="en-US" w:eastAsia="zh-CN"/>
        </w:rPr>
        <w:t xml:space="preserve">四、财政拨款收支决算总体情况说明</w:t>
      </w:r>
      <w:bookmarkEnd w:id="59"/>
      <w:bookmarkEnd w:id="60"/>
      <w:bookmarkEnd w:id="61"/>
      <w:bookmarkEnd w:id="62"/>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中共天津市委统一战线工作部宣传中心</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财政拨款</w:t>
      </w:r>
      <w:r>
        <w:rPr>
          <w:rFonts w:eastAsia="仿宋_GB2312"/>
          <w:sz w:val="30"/>
          <w:szCs w:val="30"/>
          <w:highlight w:val="none"/>
          <w:u w:val="none"/>
          <w:lang w:val="en-US" w:eastAsia="zh-CN"/>
        </w:rPr>
        <w:t xml:space="preserve">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780,841.88</w:t>
      </w:r>
      <w:r>
        <w:rPr>
          <w:rFonts w:eastAsia="仿宋_GB2312" w:hint="eastAsia"/>
          <w:sz w:val="30"/>
          <w:szCs w:val="30"/>
          <w:highlight w:val="none"/>
          <w:u w:val="none"/>
          <w:lang w:val="en-US" w:eastAsia="zh-CN"/>
        </w:rPr>
        <w:t xml:space="preserve">元。与2023年度相比，财政拨款收、支总计各</w:t>
      </w:r>
      <w:r>
        <w:rPr>
          <w:rFonts w:eastAsia="仿宋_GB2312" w:hint="eastAsia"/>
          <w:sz w:val="30"/>
          <w:szCs w:val="30"/>
          <w:highlight w:val="none"/>
          <w:u w:val="none"/>
          <w:lang w:val="en-US" w:eastAsia="zh-CN"/>
        </w:rPr>
        <w:t xml:space="preserve">增加19,605.56元，增长2.575%，</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本年度单位人员增加，从而增加了相关预算经费</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一般公共预算财政拨款780,841.88元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一般公共服务支出673,439.88元、社会保障和就业支出75,000.00元、卫生健康支出32,402.00元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3" w:name="_Toc1332076583"/>
      <w:bookmarkStart w:id="64" w:name="_Toc1723257729"/>
      <w:bookmarkStart w:id="65" w:name="_Toc163136636"/>
      <w:bookmarkStart w:id="66" w:name="_Toc1821624013"/>
      <w:r>
        <w:rPr>
          <w:rFonts w:ascii="黑体" w:eastAsia="黑体" w:hAnsi="黑体" w:cs="仿宋_GB2312" w:hint="eastAsia"/>
          <w:sz w:val="30"/>
          <w:szCs w:val="30"/>
          <w:highlight w:val="none"/>
          <w:u w:val="none"/>
          <w:lang w:val="en-US" w:eastAsia="zh-CN"/>
        </w:rPr>
        <w:t xml:space="preserve">五、一般公共预算财政拨款支出决算情况说明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（一）总体情况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中共天津市委统一战线工作部宣传中心2024年度部门决算一般公共预算财政拨款支出合计780,841.88元，占本年支出合计的100.000%。与2023年度相比，一般公共预算财政拨款支出</w:t>
      </w:r>
      <w:r>
        <w:rPr>
          <w:rFonts w:eastAsia="仿宋_GB2312" w:hint="eastAsia"/>
          <w:sz w:val="30"/>
          <w:szCs w:val="30"/>
          <w:highlight w:val="none"/>
          <w:u w:val="none"/>
          <w:lang w:val="en-US" w:eastAsia="zh-CN"/>
        </w:rPr>
        <w:t xml:space="preserve">增加19,605.56元</w:t>
      </w:r>
      <w:r>
        <w:rPr>
          <w:rFonts w:eastAsia="仿宋_GB2312" w:hint="eastAsia"/>
          <w:sz w:val="30"/>
          <w:szCs w:val="30"/>
          <w:highlight w:val="none"/>
          <w:u w:val="none"/>
          <w:lang w:val="en-US" w:eastAsia="zh-CN"/>
        </w:rPr>
        <w:t xml:space="preserve">，增长2.575%</w:t>
      </w:r>
      <w:r>
        <w:rPr>
          <w:rFonts w:eastAsia="仿宋_GB2312" w:hint="eastAsia"/>
          <w:sz w:val="30"/>
          <w:szCs w:val="30"/>
          <w:highlight w:val="none"/>
          <w:u w:val="none"/>
          <w:lang w:val="en-US" w:eastAsia="zh-CN"/>
        </w:rPr>
        <w:t xml:space="preserve">，主要原因是本年度单位人员增加，从而增加了相关经费支出。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（二）支出结构情况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2024年度一般公共预算财政拨款支出780,841.88元，主要用于以下方面：</w:t>
      </w:r>
      <w:r>
        <w:rPr>
          <w:rFonts w:eastAsia="仿宋_GB2312" w:hint="eastAsia"/>
          <w:sz w:val="30"/>
          <w:szCs w:val="30"/>
          <w:highlight w:val="none"/>
          <w:u w:val="none"/>
          <w:lang w:val="en-US" w:eastAsia="zh-CN"/>
        </w:rPr>
        <w:t xml:space="preserve">一般公共服务支出（类）支出673,439.88元，占86.245%,社会保障和就业支出（类）支出75,000.00元，占9.605%,卫生健康支出（类）支出32,402.00元，占4.150%</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（三）具体情况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2024年度一般公共预算财政拨款支出年初预算为665,000.00元，支出决算为780,841.88元</w:t>
      </w:r>
      <w:r>
        <w:rPr>
          <w:rFonts w:eastAsia="仿宋_GB2312" w:hint="eastAsia"/>
          <w:sz w:val="30"/>
          <w:szCs w:val="30"/>
          <w:highlight w:val="none"/>
          <w:u w:val="none"/>
          <w:lang w:val="en-US" w:eastAsia="zh-CN"/>
        </w:rPr>
        <w:t xml:space="preserve">，完成年初预算的117.420%</w:t>
      </w:r>
      <w:r>
        <w:rPr>
          <w:rFonts w:eastAsia="仿宋_GB2312" w:hint="eastAsia"/>
          <w:sz w:val="30"/>
          <w:szCs w:val="30"/>
          <w:highlight w:val="none"/>
          <w:u w:val="none"/>
          <w:lang w:val="en-US" w:eastAsia="zh-CN"/>
        </w:rPr>
        <w:t xml:space="preserve">。其中：</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一般公共服务支出（类）统战事务（款）事业运行（项）年初预算为572,000.00元，支出决算为673,439.88元，完成年初预算的117.734%，决算数大于预算数的主要原因是：本年度单位人员增加，从而增加了相关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社会保障和就业支出（类）行政事业单位养老支出（款）机关事业单位基本养老保险缴费支出（项）年初预算为42,000.00元，支出决算为50,000.00元，完成年初预算的119.048%，决算数大于预算数的主要原因是：本年度单位人员增加，从而增加了相关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3.社会保障和就业支出（类）行政事业单位养老支出（款）机关事业单位职业年金缴费支出（项）年初预算为21,000.00元，支出决算为25,000.00元，完成年初预算的119.048%，决算数大于预算数的主要原因是：本年度单位人员增加，从而增加了相关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4.卫生健康支出（类）行政事业单位医疗（款）事业单位医疗（项）年初预算为26,000.00元，支出决算为30,000.00元，完成年初预算的115.385%，决算数大于预算数的主要原因是：本年度单位人员增加，从而增加了相关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5.卫生健康支出（类）行政事业单位医疗（款）其他行政事业单位医疗支出（项）年初预算为4,000.00元，支出决算为2,402.00元，完成年初预算的60.050%，决算数小于预算数的主要原因是：严格按照本年度年初预算开展本单位工作。</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7" w:name="_Toc1648307680"/>
      <w:bookmarkStart w:id="68" w:name="_Toc1507914859"/>
      <w:bookmarkStart w:id="69" w:name="_Toc1828187861"/>
      <w:bookmarkStart w:id="70" w:name="_Toc1127616914"/>
      <w:r>
        <w:rPr>
          <w:rFonts w:ascii="黑体" w:eastAsia="黑体" w:hAnsi="黑体" w:cs="仿宋_GB2312" w:hint="eastAsia"/>
          <w:sz w:val="30"/>
          <w:szCs w:val="30"/>
          <w:highlight w:val="none"/>
          <w:u w:val="none"/>
          <w:lang w:val="en-US" w:eastAsia="zh-CN"/>
        </w:rPr>
        <w:t xml:space="preserve">六、一般公共预算财政拨款基本支出决算情况说明</w:t>
      </w:r>
      <w:bookmarkEnd w:id="67"/>
      <w:bookmarkEnd w:id="68"/>
      <w:bookmarkEnd w:id="69"/>
      <w:bookmarkEnd w:id="70"/>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中共天津市委统一战线工作部宣传中心</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年度部门决算一般公共预算财政拨款基本支出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780,841.88</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增加19,605.56元，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本年度单位人员增加，从而增加了相关经费支出</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人员经费700,200.00元，主要包括</w:t>
      </w:r>
      <w:r>
        <w:rPr>
          <w:rFonts w:eastAsia="仿宋_GB2312" w:hint="eastAsia"/>
          <w:sz w:val="30"/>
          <w:szCs w:val="30"/>
          <w:highlight w:val="none"/>
          <w:u w:val="none"/>
          <w:lang w:val="en-US" w:eastAsia="zh-CN"/>
        </w:rPr>
        <w:t xml:space="preserve">基本工资、津贴补贴、绩效工资、机关事业单位基本养老保险缴费、职业年金缴费、职工基本医疗保险缴费、其他社会保障缴费、住房公积金、其他工资福利支出</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公用经费80,641.88元，主要包括</w:t>
      </w:r>
      <w:r>
        <w:rPr>
          <w:rFonts w:eastAsia="仿宋_GB2312" w:hint="eastAsia"/>
          <w:sz w:val="30"/>
          <w:szCs w:val="30"/>
          <w:highlight w:val="none"/>
          <w:u w:val="none"/>
          <w:lang w:val="en-US" w:eastAsia="zh-CN"/>
        </w:rPr>
        <w:t xml:space="preserve">办公费、咨询费、手续费、邮电费、差旅费、工会经费、福利费、其他交通费用、其他商品和服务支出</w:t>
      </w:r>
      <w:bookmarkStart w:id="71" w:name="_GoBack"/>
      <w:bookmarkEnd w:id="71"/>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2" w:name="_Toc314288823"/>
      <w:bookmarkStart w:id="73" w:name="_Toc568131460"/>
      <w:bookmarkStart w:id="74" w:name="_Toc157358551"/>
      <w:bookmarkStart w:id="75" w:name="_Toc1070516966"/>
      <w:r>
        <w:rPr>
          <w:rFonts w:ascii="黑体" w:eastAsia="黑体" w:hAnsi="黑体" w:cs="仿宋_GB2312" w:hint="eastAsia"/>
          <w:sz w:val="30"/>
          <w:szCs w:val="30"/>
          <w:highlight w:val="none"/>
          <w:u w:val="none"/>
          <w:lang w:val="en-US" w:eastAsia="zh-CN"/>
        </w:rPr>
        <w:t xml:space="preserve">七、政府性基金预算财政拨款收支决算情况说明</w:t>
      </w:r>
      <w:bookmarkEnd w:id="72"/>
      <w:bookmarkEnd w:id="73"/>
      <w:bookmarkEnd w:id="74"/>
      <w:bookmarkEnd w:id="75"/>
    </w:p>
    <w:p>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中共天津市委统一战线工作部宣传中心2024年度无政府性基金预算财政拨款收入、支出和结转结余。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6" w:name="_Toc1589960188"/>
      <w:bookmarkStart w:id="77" w:name="_Toc560652996"/>
      <w:bookmarkStart w:id="78" w:name="_Toc873153658"/>
      <w:bookmarkStart w:id="79" w:name="_Toc1172797200"/>
      <w:r>
        <w:rPr>
          <w:rFonts w:ascii="黑体" w:eastAsia="黑体" w:hAnsi="黑体" w:cs="仿宋_GB2312" w:hint="eastAsia"/>
          <w:sz w:val="30"/>
          <w:szCs w:val="30"/>
          <w:highlight w:val="none"/>
          <w:u w:val="none"/>
          <w:lang w:val="en-US" w:eastAsia="zh-CN"/>
        </w:rPr>
        <w:t xml:space="preserve">八、国有资本经营预算财政拨款收支决算情况说明</w:t>
      </w:r>
      <w:bookmarkEnd w:id="76"/>
      <w:bookmarkEnd w:id="77"/>
      <w:bookmarkEnd w:id="78"/>
      <w:bookmarkEnd w:id="79"/>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中共天津市委统一战线工作部宣传中心2024年度无国有资本经营预算财政拨款收入、支出和结转结余。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0" w:name="_Toc1337770055"/>
      <w:bookmarkStart w:id="81" w:name="_Toc1597628234"/>
      <w:bookmarkStart w:id="82" w:name="_Toc1321860095"/>
      <w:bookmarkStart w:id="83" w:name="_Toc1884144383"/>
      <w:r>
        <w:rPr>
          <w:rFonts w:ascii="黑体" w:eastAsia="黑体" w:hAnsi="黑体" w:cs="仿宋_GB2312" w:hint="eastAsia"/>
          <w:sz w:val="30"/>
          <w:szCs w:val="30"/>
          <w:highlight w:val="none"/>
          <w:u w:val="none"/>
          <w:lang w:val="en-US" w:eastAsia="zh-CN"/>
        </w:rPr>
        <w:t xml:space="preserve">九、财政拨款“三公”经费支出决算情况说明</w:t>
      </w:r>
      <w:bookmarkEnd w:id="80"/>
      <w:bookmarkEnd w:id="81"/>
      <w:bookmarkEnd w:id="82"/>
      <w:bookmarkEnd w:id="83"/>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4" w:name="_Toc784288450"/>
      <w:bookmarkStart w:id="85" w:name="_Toc99152753"/>
      <w:r>
        <w:rPr>
          <w:rFonts w:ascii="楷体" w:eastAsia="楷体" w:hAnsi="楷体" w:cs="楷体" w:hint="eastAsia"/>
          <w:b/>
          <w:bCs/>
          <w:sz w:val="30"/>
          <w:szCs w:val="30"/>
          <w:highlight w:val="none"/>
          <w:u w:val="none"/>
          <w:lang w:val="en-US" w:eastAsia="zh-CN"/>
        </w:rPr>
        <w:t xml:space="preserve">（一）总体情况</w:t>
      </w:r>
      <w:bookmarkEnd w:id="84"/>
      <w:bookmarkEnd w:id="85"/>
    </w:p>
    <w:p>
      <w:pPr>
        <w:pageBreakBefore w:val="0"/>
        <w:kinsoku/>
        <w:wordWrap/>
        <w:overflowPunct/>
        <w:topLinePunct w:val="0"/>
        <w:autoSpaceDE/>
        <w:autoSpaceDN/>
        <w:bidi w:val="0"/>
        <w:snapToGrid/>
        <w:spacing w:line="600" w:lineRule="exact"/>
        <w:ind w:firstLine="600" w:firstLineChars="200"/>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2024年财政拨款“三公”经费预算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元，与2024年预算相比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决算数与预算数持平的主要原因是本年度未用财政拨款经费列支“三公”经费；</w:t>
      </w:r>
      <w:r>
        <w:rPr>
          <w:rFonts w:eastAsia="仿宋_GB2312" w:hint="eastAsia"/>
          <w:sz w:val="30"/>
          <w:szCs w:val="30"/>
          <w:highlight w:val="none"/>
          <w:u w:val="none"/>
          <w:lang w:val="en-US" w:eastAsia="zh-CN"/>
        </w:rPr>
        <w:t xml:space="preserve">决算数较上年持平的主要原因是本年度未用财政拨款经费列支“三公”经费。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6" w:name="_Toc13009599"/>
      <w:bookmarkStart w:id="87" w:name="_Toc281353864"/>
      <w:r>
        <w:rPr>
          <w:rFonts w:ascii="楷体" w:eastAsia="楷体" w:hAnsi="楷体" w:cs="楷体" w:hint="eastAsia"/>
          <w:b/>
          <w:bCs/>
          <w:sz w:val="30"/>
          <w:szCs w:val="30"/>
          <w:highlight w:val="none"/>
          <w:u w:val="none"/>
          <w:lang w:val="en-US" w:eastAsia="zh-CN"/>
        </w:rPr>
        <w:t xml:space="preserve">（二）具体情况</w:t>
      </w:r>
      <w:bookmarkEnd w:id="86"/>
      <w:bookmarkEnd w:id="87"/>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1.因公出国（境）费预算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决算数与预算数持平的主要原因是本年度未用财政拨款经费列支因公出国（境）费；</w:t>
      </w:r>
      <w:r>
        <w:rPr>
          <w:rFonts w:eastAsia="仿宋_GB2312" w:hint="eastAsia"/>
          <w:sz w:val="30"/>
          <w:szCs w:val="30"/>
          <w:highlight w:val="none"/>
          <w:u w:val="none"/>
          <w:lang w:val="en-US" w:eastAsia="zh-CN"/>
        </w:rPr>
        <w:t xml:space="preserve">决算数较上年持平的主要原因是本年度未用财政拨款经费列支因公出国（境）费。</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2024年本单位组织的出国团组</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个，出国</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人次。</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2.公务用车购置及运行维护费预算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决算数与预算数持平的主要原因是本年度未用财政拨款经费列支公务用车购置及运行维护费；</w:t>
      </w:r>
      <w:r>
        <w:rPr>
          <w:rFonts w:eastAsia="仿宋_GB2312" w:hint="eastAsia"/>
          <w:sz w:val="30"/>
          <w:szCs w:val="30"/>
          <w:highlight w:val="none"/>
          <w:u w:val="none"/>
          <w:lang w:val="en-US" w:eastAsia="zh-CN"/>
        </w:rPr>
        <w:t xml:space="preserve">决算数较上年持平的主要原因是本年度未用财政拨款经费列支公务用车购置及运行维护费。</w:t>
      </w:r>
      <w:r>
        <w:rPr>
          <w:rFonts w:eastAsia="仿宋_GB2312"/>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公务用车运行维护费预算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决算数与预算数持平的主要原因是本年度未用财政拨款经费列支公务用车运行维护费；</w:t>
      </w:r>
      <w:r>
        <w:rPr>
          <w:rFonts w:eastAsia="仿宋_GB2312" w:hint="eastAsia"/>
          <w:sz w:val="30"/>
          <w:szCs w:val="30"/>
          <w:highlight w:val="none"/>
          <w:u w:val="none"/>
          <w:lang w:val="en-US" w:eastAsia="zh-CN"/>
        </w:rPr>
        <w:t xml:space="preserve">决算数较上年持平的主要原因是本年度未用财政拨款经费列支公务用车运行维护费。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截至2024年12月31日，使用财政拨款开支运行维护费的公务用车保有量为</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公务用车购置费预算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决算数与预算数持平的主要原因是本年度未用财政拨款经费列支公务用车购置费；</w:t>
      </w:r>
      <w:r>
        <w:rPr>
          <w:rFonts w:eastAsia="仿宋_GB2312" w:hint="eastAsia"/>
          <w:sz w:val="30"/>
          <w:szCs w:val="30"/>
          <w:highlight w:val="none"/>
          <w:u w:val="none"/>
          <w:lang w:val="en-US" w:eastAsia="zh-CN"/>
        </w:rPr>
        <w:t xml:space="preserve">决算数较上年持平的主要原因是本年度未用财政拨款经费列支公务用车购置费。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2024年购置公务用车</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3.公务接待费预算</w:t>
      </w:r>
      <w:r>
        <w:rPr>
          <w:rFonts w:ascii="Times New Roman" w:eastAsia="仿宋_GB2312" w:hAnsi="Times New Roman" w:cs="Times New Roman" w:hint="eastAsia"/>
          <w:sz w:val="30"/>
          <w:szCs w:val="30"/>
          <w:highlight w:val="none"/>
          <w:u w:val="none"/>
          <w:lang w:val="en-US" w:eastAsia="zh-CN"/>
        </w:rPr>
        <w:t xml:space="preserve">0.00</w:t>
      </w:r>
      <w:r>
        <w:rPr>
          <w:rFonts w:ascii="Times New Roman" w:eastAsia="仿宋_GB2312" w:hAnsi="Times New Roman" w:cs="Times New Roman" w:hint="eastAsia"/>
          <w:sz w:val="30"/>
          <w:szCs w:val="30"/>
          <w:highlight w:val="none"/>
          <w:u w:val="none"/>
          <w:lang w:val="en-US" w:eastAsia="zh-CN"/>
        </w:rPr>
        <w:t xml:space="preserve">元，支出决算</w:t>
      </w:r>
      <w:r>
        <w:rPr>
          <w:rFonts w:ascii="Times New Roman" w:eastAsia="仿宋_GB2312" w:hAnsi="Times New Roman" w:cs="Times New Roman" w:hint="eastAsia"/>
          <w:sz w:val="30"/>
          <w:szCs w:val="30"/>
          <w:highlight w:val="none"/>
          <w:u w:val="none"/>
          <w:lang w:val="en-US" w:eastAsia="zh-CN"/>
        </w:rPr>
        <w:t xml:space="preserve">0.00</w:t>
      </w:r>
      <w:r>
        <w:rPr>
          <w:rFonts w:ascii="Times New Roman" w:eastAsia="仿宋_GB2312" w:hAnsi="Times New Roman" w:cs="Times New Roman" w:hint="eastAsia"/>
          <w:sz w:val="30"/>
          <w:szCs w:val="30"/>
          <w:highlight w:val="none"/>
          <w:u w:val="none"/>
          <w:lang w:val="en-US" w:eastAsia="zh-CN"/>
        </w:rPr>
        <w:t xml:space="preserve">元，与预算相比</w:t>
      </w:r>
      <w:r>
        <w:rPr>
          <w:rFonts w:ascii="Times New Roman" w:eastAsia="仿宋_GB2312" w:hAnsi="Times New Roman" w:cs="Times New Roman" w:hint="eastAsia"/>
          <w:sz w:val="30"/>
          <w:szCs w:val="30"/>
          <w:highlight w:val="none"/>
          <w:u w:val="none"/>
          <w:lang w:val="en-US" w:eastAsia="zh-CN"/>
        </w:rPr>
        <w:t xml:space="preserve">持平</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支出决算较上年持平</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决算数与预算数持平的主要原因是本年度未用财政拨款经费列支公务接待费；</w:t>
      </w:r>
      <w:r>
        <w:rPr>
          <w:rFonts w:ascii="Times New Roman" w:eastAsia="仿宋_GB2312" w:hAnsi="Times New Roman" w:cs="Times New Roman" w:hint="eastAsia"/>
          <w:sz w:val="30"/>
          <w:szCs w:val="30"/>
          <w:highlight w:val="none"/>
          <w:u w:val="none"/>
          <w:lang w:val="en-US" w:eastAsia="zh-CN"/>
        </w:rPr>
        <w:t xml:space="preserve">决算数较上年持平的主要原因是本年度未用财政拨款经费列支公务接待费。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2024年本单位国内公务接待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人次；其中，外事接待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8" w:name="_Toc20786419"/>
      <w:bookmarkStart w:id="89" w:name="_Toc2102885201"/>
      <w:bookmarkStart w:id="90" w:name="_Toc1349690397"/>
      <w:bookmarkStart w:id="91" w:name="_Toc1895013942"/>
      <w:r>
        <w:rPr>
          <w:rFonts w:ascii="黑体" w:eastAsia="黑体" w:hAnsi="黑体" w:cs="仿宋_GB2312" w:hint="eastAsia"/>
          <w:sz w:val="30"/>
          <w:szCs w:val="30"/>
          <w:highlight w:val="none"/>
          <w:u w:val="none"/>
          <w:lang w:val="en-US" w:eastAsia="zh-CN"/>
        </w:rPr>
        <w:t xml:space="preserve">十、机关运行经费支出情况说明</w:t>
      </w:r>
      <w:bookmarkEnd w:id="88"/>
      <w:bookmarkEnd w:id="89"/>
      <w:bookmarkEnd w:id="90"/>
      <w:bookmarkEnd w:id="91"/>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中共天津市委统一战线工作部宣传中心2024年度无机关运行经费。</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2" w:name="_Toc1464993319"/>
      <w:bookmarkStart w:id="93" w:name="_Toc376739118"/>
      <w:bookmarkStart w:id="94" w:name="_Toc169354537"/>
      <w:bookmarkStart w:id="95" w:name="_Toc2053194528"/>
      <w:r>
        <w:rPr>
          <w:rFonts w:ascii="黑体" w:eastAsia="黑体" w:hAnsi="黑体" w:cs="仿宋_GB2312" w:hint="eastAsia"/>
          <w:sz w:val="30"/>
          <w:szCs w:val="30"/>
          <w:highlight w:val="none"/>
          <w:u w:val="none"/>
          <w:lang w:val="en-US" w:eastAsia="zh-CN"/>
        </w:rPr>
        <w:t xml:space="preserve">十一、政府采购支出情况说明</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中共天津市委统一战线工作部宣传中心2024年政府采购支出总额700.00元，其中：政府采购货物支出700.00元、政府采购工程支出0.00元、政府采购服务支出0.00元。授予中小企业合同金额700.00元，占政府采购支出总额的100.000%，其中：授予小微企业合同金额700.00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6" w:name="_Toc1242699578"/>
      <w:bookmarkStart w:id="97" w:name="_Toc925871084"/>
      <w:bookmarkStart w:id="98" w:name="_Toc1072564870"/>
      <w:bookmarkStart w:id="99" w:name="_Toc125708453"/>
      <w:r>
        <w:rPr>
          <w:rFonts w:ascii="黑体" w:eastAsia="黑体" w:hAnsi="黑体" w:cs="仿宋_GB2312" w:hint="eastAsia"/>
          <w:sz w:val="30"/>
          <w:szCs w:val="30"/>
          <w:highlight w:val="none"/>
          <w:u w:val="none"/>
          <w:lang w:val="en-US" w:eastAsia="zh-CN"/>
        </w:rPr>
        <w:t xml:space="preserve">十二、国有资产占有使用情况说明</w:t>
      </w:r>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bookmarkStart w:id="100" w:name="_Toc620037172"/>
      <w:r>
        <w:rPr>
          <w:rFonts w:ascii="Times New Roman" w:eastAsia="仿宋_GB2312" w:hAnsi="Times New Roman" w:cs="Times New Roman" w:hint="eastAsia"/>
          <w:sz w:val="30"/>
          <w:szCs w:val="30"/>
          <w:highlight w:val="none"/>
          <w:u w:val="none"/>
          <w:lang w:val="en-US" w:eastAsia="zh-CN"/>
        </w:rPr>
        <w:t xml:space="preserve">中共天津市委统一战线工作部宣传中心2024年度无国有资产占有使用情况。</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1" w:name="_Toc448802626"/>
      <w:bookmarkStart w:id="102" w:name="_Toc1805544570"/>
      <w:bookmarkStart w:id="103" w:name="_Toc1773340371"/>
      <w:r>
        <w:rPr>
          <w:rFonts w:ascii="黑体" w:eastAsia="黑体" w:hAnsi="黑体" w:cs="仿宋_GB2312" w:hint="eastAsia"/>
          <w:sz w:val="30"/>
          <w:szCs w:val="30"/>
          <w:highlight w:val="none"/>
          <w:u w:val="none"/>
          <w:lang w:val="en-US" w:eastAsia="zh-CN"/>
        </w:rPr>
        <w:t xml:space="preserve">十三、预算绩效情况说明</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    中共天津市委统一战线工作部宣传中心2024年度没有项目支出,无需开展绩效自评。</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4" w:name="_Toc1843655880"/>
      <w:bookmarkStart w:id="105" w:name="_Toc1374094560"/>
      <w:bookmarkStart w:id="106" w:name="_Toc1753562331"/>
      <w:bookmarkStart w:id="107" w:name="_Toc1063166918"/>
      <w:r>
        <w:rPr>
          <w:rFonts w:ascii="黑体" w:eastAsia="黑体" w:hAnsi="黑体" w:cs="仿宋_GB2312" w:hint="eastAsia"/>
          <w:sz w:val="30"/>
          <w:szCs w:val="30"/>
          <w:highlight w:val="none"/>
          <w:u w:val="none"/>
          <w:lang w:val="en-US" w:eastAsia="zh-CN"/>
        </w:rPr>
        <w:t xml:space="preserve">十四、教育、医疗卫生、社会保障和就业、住房保障、涉农补贴等民生支出情况说明</w:t>
      </w:r>
      <w:bookmarkEnd w:id="104"/>
      <w:bookmarkEnd w:id="105"/>
      <w:bookmarkEnd w:id="106"/>
      <w:bookmarkEnd w:id="107"/>
    </w:p>
    <w:p>
      <w:pPr>
        <w:pageBreakBefore w:val="0"/>
        <w:kinsoku/>
        <w:wordWrap/>
        <w:overflowPunct/>
        <w:topLinePunct w:val="0"/>
        <w:autoSpaceDE/>
        <w:autoSpaceDN/>
        <w:bidi w:val="0"/>
        <w:snapToGrid/>
        <w:spacing w:line="600" w:lineRule="exact"/>
        <w:rPr>
          <w:rFonts w:ascii="Times New Roman" w:eastAsia="楷体" w:hAnsi="Times New Roman" w:cs="Times New Roman" w:hint="eastAsia"/>
          <w:sz w:val="30"/>
          <w:szCs w:val="30"/>
          <w:highlight w:val="none"/>
          <w:u w:val="none"/>
          <w:lang w:val="en-US" w:eastAsia="zh-CN"/>
        </w:rPr>
      </w:pPr>
      <w:r>
        <w:rPr>
          <w:rFonts w:eastAsia="仿宋_GB2312" w:hint="eastAsia"/>
          <w:sz w:val="30"/>
          <w:szCs w:val="30"/>
          <w:highlight w:val="none"/>
          <w:u w:val="none"/>
          <w:lang w:val="en-US" w:eastAsia="zh-CN"/>
        </w:rPr>
        <w:t xml:space="preserve">    中共天津市委统一战线工作部宣传中心不属于乡、镇、街级单位,不涉及公开2024年度教育、医疗卫生、社会保障和就业、住房保障、涉农补贴等民生支出情况。</w:t>
      </w:r>
      <w:r>
        <w:br w:type="page"/>
      </w:r>
    </w:p>
    <w:p>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u w:val="none"/>
          <w:lang w:val="en-US" w:eastAsia="zh-CN"/>
        </w:rPr>
      </w:pPr>
      <w:bookmarkStart w:id="108" w:name="_Toc56525689"/>
      <w:bookmarkStart w:id="109" w:name="_Toc368130082"/>
      <w:bookmarkStart w:id="110" w:name="_Toc1582447786"/>
      <w:bookmarkStart w:id="111" w:name="_Toc282832597"/>
      <w:r>
        <w:rPr>
          <w:rFonts w:ascii="方正小标宋简体" w:eastAsia="方正小标宋简体" w:hAnsi="方正小标宋简体" w:cs="方正小标宋简体" w:hint="eastAsia"/>
          <w:b w:val="0"/>
          <w:sz w:val="44"/>
          <w:szCs w:val="44"/>
          <w:highlight w:val="none"/>
          <w:u w:val="none"/>
          <w:lang w:val="en-US" w:eastAsia="zh-CN"/>
        </w:rPr>
        <w:t xml:space="preserve">第四部分  名词解释</w:t>
      </w:r>
      <w:bookmarkEnd w:id="108"/>
      <w:bookmarkEnd w:id="109"/>
      <w:bookmarkEnd w:id="110"/>
      <w:bookmarkEnd w:id="1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ascii="Times New Roman" w:eastAsia="仿宋_GB2312" w:hAnsi="Times New Roman" w:cs="Times New Roman" w:hint="eastAsia"/>
          <w:sz w:val="30"/>
          <w:szCs w:val="30"/>
          <w:highlight w:val="none"/>
          <w:lang w:val="en-US" w:eastAsia="zh-CN"/>
        </w:rPr>
      </w:pPr>
      <w:r>
        <w:rPr>
          <w:rFonts w:ascii="Times New Roman" w:eastAsia="仿宋_GB2312" w:hAnsi="Times New Roman" w:cs="Times New Roman" w:hint="eastAsia"/>
          <w:sz w:val="30"/>
          <w:szCs w:val="30"/>
          <w:highlight w:val="none"/>
          <w:lang w:val="en-US" w:eastAsia="zh-CN"/>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lang w:val="en-US" w:eastAsia="zh-CN"/>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lang w:val="en-US" w:eastAsia="zh-CN"/>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auto"/>
    <w:pitch w:val="default"/>
    <w:sig w:usb0="00000000" w:usb1="00000000" w:usb2="02000000" w:usb3="00000000" w:csb0="2000019F"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r>
      <w:rPr>
        <w:lang w:val="en-US" w:eastAsia="zh-CN"/>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0" name="文本框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2049"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Char"/>
    <w:uiPriority w:val="9"/>
    <w:qFormat/>
    <w:pPr>
      <w:keepNext/>
      <w:keepLines/>
      <w:spacing w:before="340" w:after="330" w:line="578" w:lineRule="atLeast"/>
      <w:outlineLvl w:val="0"/>
    </w:pPr>
    <w:rPr>
      <w:b/>
      <w:bCs/>
      <w:kern w:val="44"/>
      <w:sz w:val="44"/>
      <w:szCs w:val="44"/>
      <w:lang w:val="en-US" w:eastAsia="zh-CN"/>
    </w:rPr>
  </w:style>
  <w:style w:type="paragraph" w:styleId="Heading2">
    <w:name w:val="Heading 2"/>
    <w:basedOn w:val="Normal"/>
    <w:next w:val="Normal"/>
    <w:link w:val="标题2Char"/>
    <w:uiPriority w:val="9"/>
    <w:unhideWhenUsed/>
    <w:qFormat/>
    <w:pPr>
      <w:keepNext/>
      <w:keepLines/>
      <w:spacing w:before="260" w:after="260" w:line="416" w:lineRule="atLeast"/>
      <w:outlineLvl w:val="1"/>
    </w:pPr>
    <w:rPr>
      <w:rFonts w:ascii="Cambria" w:eastAsia="宋体" w:hAnsi="Cambria" w:cs="Times New Roman"/>
      <w:b/>
      <w:bCs/>
      <w:sz w:val="32"/>
      <w:szCs w:val="32"/>
      <w:lang w:val="en-US" w:eastAsia="zh-CN"/>
    </w:rPr>
  </w:style>
  <w:style w:type="paragraph" w:styleId="Heading3">
    <w:name w:val="Heading 3"/>
    <w:basedOn w:val="Normal"/>
    <w:next w:val="Normal"/>
    <w:link w:val="标题3Char"/>
    <w:uiPriority w:val="9"/>
    <w:unhideWhenUsed/>
    <w:qFormat/>
    <w:pPr>
      <w:keepNext/>
      <w:keepLines/>
      <w:spacing w:before="260" w:after="260" w:line="416" w:lineRule="atLeast"/>
      <w:outlineLvl w:val="2"/>
    </w:pPr>
    <w:rPr>
      <w:b/>
      <w:bCs/>
      <w:sz w:val="32"/>
      <w:szCs w:val="32"/>
      <w:lang w:val="en-US" w:eastAsia="zh-CN"/>
    </w:rPr>
  </w:style>
  <w:style w:type="character" w:default="1" w:styleId="DefaultParagraphFont">
    <w:name w:val="Default Paragraph Font"/>
    <w:unhideWhenUsed/>
    <w:qFormat/>
    <w:rPr/>
  </w:style>
  <w:style w:type="table" w:default="1" w:styleId="NormalTable">
    <w:name w:val="Normal Table"/>
    <w:uiPriority w:val="99"/>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lang w:val="en-US" w:eastAsia="zh-CN"/>
    </w:rPr>
  </w:style>
  <w:style w:type="paragraph" w:styleId="BalloonText">
    <w:name w:val="Balloon Text"/>
    <w:basedOn w:val="Normal"/>
    <w:link w:val="批注框文本Char"/>
    <w:uiPriority w:val="99"/>
    <w:unhideWhenUsed/>
    <w:qFormat/>
    <w:pPr>
      <w:spacing w:line="240" w:lineRule="auto"/>
    </w:pPr>
    <w:rPr>
      <w:sz w:val="18"/>
      <w:szCs w:val="18"/>
      <w:lang w:val="en-US" w:eastAsia="zh-CN"/>
    </w:rPr>
  </w:style>
  <w:style w:type="paragraph" w:styleId="Footer">
    <w:name w:val="Footer"/>
    <w:basedOn w:val="Normal"/>
    <w:link w:val="页脚Char"/>
    <w:unhideWhenUsed/>
    <w:qFormat/>
    <w:pPr>
      <w:tabs>
        <w:tab w:val="center" w:pos="4153"/>
        <w:tab w:val="right" w:pos="8306"/>
      </w:tabs>
      <w:snapToGrid w:val="0"/>
      <w:spacing w:line="240" w:lineRule="atLeast"/>
    </w:pPr>
    <w:rPr>
      <w:sz w:val="18"/>
      <w:szCs w:val="18"/>
      <w:lang w:val="en-US" w:eastAsia="zh-CN"/>
    </w:rPr>
  </w:style>
  <w:style w:type="paragraph" w:styleId="Header">
    <w:name w:val="Header"/>
    <w:basedOn w:val="Normal"/>
    <w:link w:val="页眉Char"/>
    <w:unhideWhenUsed/>
    <w:qFormat/>
    <w:pPr>
      <w:pBdr>
        <w:bottom w:val="single" w:sz="6" w:space="1" w:color="auto"/>
      </w:pBdr>
      <w:tabs>
        <w:tab w:val="center" w:pos="4153"/>
        <w:tab w:val="right" w:pos="8306"/>
      </w:tabs>
      <w:snapToGrid w:val="0"/>
      <w:spacing w:line="240" w:lineRule="atLeast"/>
      <w:jc w:val="center"/>
    </w:pPr>
    <w:rPr>
      <w:sz w:val="18"/>
      <w:szCs w:val="18"/>
      <w:lang w:val="en-US" w:eastAsia="zh-CN"/>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lang w:val="en-US" w:eastAsia="zh-CN"/>
    </w:rPr>
  </w:style>
  <w:style w:type="paragraph" w:styleId="Normal(Web)">
    <w:name w:val="Normal (Web)"/>
    <w:basedOn w:val="Normal"/>
    <w:uiPriority w:val="99"/>
    <w:unhideWhenUsed/>
    <w:qFormat/>
    <w:rPr>
      <w:sz w:val="24"/>
      <w:lang w:val="en-US" w:eastAsia="zh-CN"/>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标题1Char">
    <w:name w:val="标题 1 Char"/>
    <w:link w:val="Heading1"/>
    <w:uiPriority w:val="9"/>
    <w:qFormat/>
    <w:rPr>
      <w:b/>
      <w:bCs/>
      <w:kern w:val="44"/>
      <w:sz w:val="44"/>
      <w:szCs w:val="44"/>
    </w:rPr>
  </w:style>
  <w:style w:type="character" w:customStyle="1" w:styleId="标题2Char">
    <w:name w:val="标题 2 Char"/>
    <w:link w:val="Heading2"/>
    <w:uiPriority w:val="9"/>
    <w:semiHidden/>
    <w:qFormat/>
    <w:rPr>
      <w:rFonts w:ascii="Cambria" w:eastAsia="宋体" w:hAnsi="Cambria" w:cs="Times New Roman"/>
      <w:b/>
      <w:bCs/>
      <w:sz w:val="32"/>
      <w:szCs w:val="32"/>
    </w:rPr>
  </w:style>
  <w:style w:type="character" w:customStyle="1" w:styleId="标题3Char">
    <w:name w:val="标题 3 Char"/>
    <w:link w:val="Heading3"/>
    <w:uiPriority w:val="9"/>
    <w:semiHidden/>
    <w:qFormat/>
    <w:rPr>
      <w:b/>
      <w:bCs/>
      <w:sz w:val="32"/>
      <w:szCs w:val="32"/>
    </w:rPr>
  </w:style>
  <w:style w:type="character" w:customStyle="1" w:styleId="批注框文本Char">
    <w:name w:val="批注框文本 Char"/>
    <w:link w:val="BalloonText"/>
    <w:uiPriority w:val="99"/>
    <w:semiHidden/>
    <w:qFormat/>
    <w:rPr>
      <w:sz w:val="18"/>
      <w:szCs w:val="18"/>
    </w:rPr>
  </w:style>
  <w:style w:type="character" w:customStyle="1" w:styleId="页脚Char">
    <w:name w:val="页脚 Char"/>
    <w:link w:val="Footer"/>
    <w:semiHidden/>
    <w:qFormat/>
    <w:rPr>
      <w:sz w:val="18"/>
      <w:szCs w:val="18"/>
    </w:rPr>
  </w:style>
  <w:style w:type="character" w:customStyle="1" w:styleId="页眉Char">
    <w:name w:val="页眉 Char"/>
    <w:link w:val="Header"/>
    <w:semiHidden/>
    <w:qFormat/>
    <w:rPr>
      <w:sz w:val="18"/>
      <w:szCs w:val="18"/>
    </w:rPr>
  </w:style>
  <w:style w:type="paragraph" w:customStyle="1" w:styleId="TOC标题">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lang w:val="en-US" w:eastAsia="zh-CN"/>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paragraph" w:customStyle="1" w:styleId="WPSOffice手动目录2">
    <w:name w:val="WPSOffice手动目录 2"/>
    <w:qFormat/>
    <w:pPr>
      <w:ind w:leftChars="200"/>
    </w:pPr>
    <w:rPr>
      <w:rFonts w:ascii="Times New Roman" w:eastAsia="宋体" w:hAnsi="Times New Roman" w:cs="Times New Roman"/>
      <w:sz w:val="20"/>
      <w:szCs w:val="20"/>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theme" Target="theme/theme1.xml" /><Relationship Id="rId25" Type="http://schemas.openxmlformats.org/officeDocument/2006/relationships/styles" Target="styles.xml" /><Relationship Id="rId26" Type="http://schemas.openxmlformats.org/officeDocument/2006/relationships/webSettings" Target="webSettings.xml" /><Relationship Id="rId27" Type="http://schemas.openxmlformats.org/officeDocument/2006/relationships/fontTable" Target="fontTable.xml" /><Relationship Id="rId28"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21.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7.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9.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611412d9-9bd1-49c6-898e-32e5b10e4a57}">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c3ab585a-6ba2-4fc7-be37-d151daaab6c4}">
  <ds:schemaRefs/>
</ds:datastoreItem>
</file>

<file path=customXml/itemProps14.xml><?xml version="1.0" encoding="utf-8"?>
<ds:datastoreItem xmlns:ds="http://schemas.openxmlformats.org/officeDocument/2006/customXml" ds:itemID="{8445723e-1c18-4162-bee5-0642e591ae1d}">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696f2980-23d8-403f-a1d5-fc1c8d10704c}">
  <ds:schemaRefs/>
</ds:datastoreItem>
</file>

<file path=customXml/itemProps17.xml><?xml version="1.0" encoding="utf-8"?>
<ds:datastoreItem xmlns:ds="http://schemas.openxmlformats.org/officeDocument/2006/customXml" ds:itemID="{30725f48-01cb-48aa-a7bb-504ed9a54385}">
  <ds:schemaRefs/>
</ds:datastoreItem>
</file>

<file path=customXml/itemProps18.xml><?xml version="1.0" encoding="utf-8"?>
<ds:datastoreItem xmlns:ds="http://schemas.openxmlformats.org/officeDocument/2006/customXml" ds:itemID="{a7a12f52-7f7e-49e8-9ded-3d2e6e172a8b}">
  <ds:schemaRefs/>
</ds:datastoreItem>
</file>

<file path=customXml/itemProps19.xml><?xml version="1.0" encoding="utf-8"?>
<ds:datastoreItem xmlns:ds="http://schemas.openxmlformats.org/officeDocument/2006/customXml" ds:itemID="{52c2f3b5-2fed-4cf7-bade-85673cca97a7}">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1709ea4b-bc17-47d8-8a6c-f6be750a562f}">
  <ds:schemaRefs/>
</ds:datastoreItem>
</file>

<file path=customXml/itemProps21.xml><?xml version="1.0" encoding="utf-8"?>
<ds:datastoreItem xmlns:ds="http://schemas.openxmlformats.org/officeDocument/2006/customXml" ds:itemID="{a460a401-5645-4b19-9032-4f3214354ad2}">
  <ds:schemaRefs/>
</ds:datastoreItem>
</file>

<file path=customXml/itemProps3.xml><?xml version="1.0" encoding="utf-8"?>
<ds:datastoreItem xmlns:ds="http://schemas.openxmlformats.org/officeDocument/2006/customXml" ds:itemID="{68cd3a8f-9c94-403b-aeaa-050e2144b593}">
  <ds:schemaRefs/>
</ds:datastoreItem>
</file>

<file path=customXml/itemProps4.xml><?xml version="1.0" encoding="utf-8"?>
<ds:datastoreItem xmlns:ds="http://schemas.openxmlformats.org/officeDocument/2006/customXml" ds:itemID="{217734ff-e389-4970-b253-703d7fc180dd}">
  <ds:schemaRefs/>
</ds:datastoreItem>
</file>

<file path=customXml/itemProps5.xml><?xml version="1.0" encoding="utf-8"?>
<ds:datastoreItem xmlns:ds="http://schemas.openxmlformats.org/officeDocument/2006/customXml" ds:itemID="{29c29699-4f72-40f4-b55a-008b4ca23939}">
  <ds:schemaRefs/>
</ds:datastoreItem>
</file>

<file path=customXml/itemProps6.xml><?xml version="1.0" encoding="utf-8"?>
<ds:datastoreItem xmlns:ds="http://schemas.openxmlformats.org/officeDocument/2006/customXml" ds:itemID="{8b3b8d83-7812-4532-aad4-c9247d36013a}">
  <ds:schemaRefs/>
</ds:datastoreItem>
</file>

<file path=customXml/itemProps7.xml><?xml version="1.0" encoding="utf-8"?>
<ds:datastoreItem xmlns:ds="http://schemas.openxmlformats.org/officeDocument/2006/customXml" ds:itemID="{9a986101-a5d4-42f8-9bd2-ed831c27e849}">
  <ds:schemaRefs/>
</ds:datastoreItem>
</file>

<file path=customXml/itemProps8.xml><?xml version="1.0" encoding="utf-8"?>
<ds:datastoreItem xmlns:ds="http://schemas.openxmlformats.org/officeDocument/2006/customXml" ds:itemID="{9b7e5bbc-85b6-4507-a266-8a5908359f3f}">
  <ds:schemaRefs/>
</ds:datastoreItem>
</file>

<file path=customXml/itemProps9.xml><?xml version="1.0" encoding="utf-8"?>
<ds:datastoreItem xmlns:ds="http://schemas.openxmlformats.org/officeDocument/2006/customXml" ds:itemID="{e3799c1f-725d-428d-8919-8f8656367b63}">
  <ds:schemaRefs/>
</ds:datastoreItem>
</file>

<file path=docProps/app.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5</cp:revision>
  <cp:lastPrinted>2025-07-05T03:27:00Z</cp:lastPrinted>
  <dcterms:created xsi:type="dcterms:W3CDTF">2019-08-07T18:37:00Z</dcterms:created>
  <dcterms:modified xsi:type="dcterms:W3CDTF">2025-08-15T11:25:18Z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